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4E7A03" w14:paraId="33107D3F" w14:textId="77777777" w:rsidTr="007E1D85">
        <w:tc>
          <w:tcPr>
            <w:tcW w:w="5211" w:type="dxa"/>
            <w:hideMark/>
          </w:tcPr>
          <w:p w14:paraId="2CC6F9FD" w14:textId="77777777" w:rsidR="007E1D85" w:rsidRPr="004E7A03"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68712A10" w14:textId="77777777" w:rsidR="004B58B4" w:rsidRPr="004E7A03" w:rsidRDefault="004B58B4" w:rsidP="004B58B4">
            <w:pPr>
              <w:widowControl w:val="0"/>
              <w:spacing w:after="0" w:line="240" w:lineRule="auto"/>
              <w:rPr>
                <w:rFonts w:ascii="Times New Roman" w:eastAsia="Times New Roman" w:hAnsi="Times New Roman"/>
                <w:b/>
                <w:snapToGrid w:val="0"/>
                <w:sz w:val="28"/>
                <w:szCs w:val="28"/>
                <w:lang w:eastAsia="ru-RU"/>
              </w:rPr>
            </w:pPr>
            <w:r w:rsidRPr="004E7A03">
              <w:rPr>
                <w:rFonts w:ascii="Times New Roman" w:eastAsia="Times New Roman" w:hAnsi="Times New Roman"/>
                <w:b/>
                <w:snapToGrid w:val="0"/>
                <w:sz w:val="28"/>
                <w:szCs w:val="28"/>
                <w:lang w:eastAsia="ru-RU"/>
              </w:rPr>
              <w:t>УТВЕРЖДЕНА</w:t>
            </w:r>
          </w:p>
          <w:p w14:paraId="586788C5" w14:textId="77777777" w:rsidR="004B58B4" w:rsidRPr="004E7A03" w:rsidRDefault="004B58B4" w:rsidP="004B58B4">
            <w:pPr>
              <w:autoSpaceDE w:val="0"/>
              <w:autoSpaceDN w:val="0"/>
              <w:spacing w:after="0" w:line="240" w:lineRule="auto"/>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 xml:space="preserve">Приказом Председателя </w:t>
            </w:r>
          </w:p>
          <w:p w14:paraId="16F6C90F" w14:textId="77777777" w:rsidR="004B58B4" w:rsidRPr="004E7A03" w:rsidRDefault="004B58B4" w:rsidP="004B58B4">
            <w:pPr>
              <w:autoSpaceDE w:val="0"/>
              <w:autoSpaceDN w:val="0"/>
              <w:spacing w:after="0" w:line="240" w:lineRule="auto"/>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 xml:space="preserve">РГУ «Комитет медицинского и </w:t>
            </w:r>
          </w:p>
          <w:p w14:paraId="148BEF9C" w14:textId="77777777" w:rsidR="004B58B4" w:rsidRPr="004E7A03" w:rsidRDefault="00277836" w:rsidP="004B58B4">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фармацевтического контроля</w:t>
            </w:r>
          </w:p>
          <w:p w14:paraId="5773FF20" w14:textId="77777777" w:rsidR="004B58B4" w:rsidRPr="004E7A03" w:rsidRDefault="004B58B4" w:rsidP="004B58B4">
            <w:pPr>
              <w:keepNext/>
              <w:autoSpaceDE w:val="0"/>
              <w:autoSpaceDN w:val="0"/>
              <w:spacing w:after="0" w:line="240" w:lineRule="auto"/>
              <w:outlineLvl w:val="2"/>
              <w:rPr>
                <w:rFonts w:ascii="Times New Roman" w:eastAsia="Times New Roman" w:hAnsi="Times New Roman"/>
                <w:bCs/>
                <w:sz w:val="28"/>
                <w:szCs w:val="28"/>
                <w:lang w:val="uk-UA" w:eastAsia="ru-RU"/>
              </w:rPr>
            </w:pPr>
            <w:r w:rsidRPr="004E7A03">
              <w:rPr>
                <w:rFonts w:ascii="Times New Roman" w:eastAsia="Times New Roman" w:hAnsi="Times New Roman"/>
                <w:bCs/>
                <w:sz w:val="28"/>
                <w:szCs w:val="28"/>
                <w:lang w:eastAsia="ru-RU"/>
              </w:rPr>
              <w:t>Министерства Здравоохранения</w:t>
            </w:r>
            <w:r w:rsidRPr="004E7A03">
              <w:rPr>
                <w:rFonts w:ascii="Times New Roman" w:eastAsia="Times New Roman" w:hAnsi="Times New Roman"/>
                <w:bCs/>
                <w:sz w:val="28"/>
                <w:szCs w:val="28"/>
                <w:lang w:val="uk-UA" w:eastAsia="ru-RU"/>
              </w:rPr>
              <w:t xml:space="preserve"> </w:t>
            </w:r>
          </w:p>
          <w:p w14:paraId="180F4518" w14:textId="77777777" w:rsidR="004B58B4" w:rsidRPr="004E7A03" w:rsidRDefault="004B58B4" w:rsidP="004B58B4">
            <w:pPr>
              <w:keepNext/>
              <w:autoSpaceDE w:val="0"/>
              <w:autoSpaceDN w:val="0"/>
              <w:spacing w:after="0" w:line="240" w:lineRule="auto"/>
              <w:outlineLvl w:val="3"/>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Республики Казахстан</w:t>
            </w:r>
            <w:r w:rsidR="00277836">
              <w:rPr>
                <w:rFonts w:ascii="Times New Roman" w:eastAsia="Times New Roman" w:hAnsi="Times New Roman"/>
                <w:bCs/>
                <w:sz w:val="28"/>
                <w:szCs w:val="28"/>
                <w:lang w:eastAsia="ru-RU"/>
              </w:rPr>
              <w:t>»</w:t>
            </w:r>
          </w:p>
          <w:p w14:paraId="1CDA74B9" w14:textId="64929E62" w:rsidR="004B58B4" w:rsidRPr="004E7A03" w:rsidRDefault="004B58B4" w:rsidP="004B58B4">
            <w:pPr>
              <w:autoSpaceDE w:val="0"/>
              <w:autoSpaceDN w:val="0"/>
              <w:spacing w:after="0" w:line="240" w:lineRule="auto"/>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от «</w:t>
            </w:r>
            <w:r w:rsidR="002C4506">
              <w:rPr>
                <w:rFonts w:ascii="Times New Roman" w:eastAsia="Times New Roman" w:hAnsi="Times New Roman"/>
                <w:sz w:val="28"/>
                <w:szCs w:val="28"/>
                <w:lang w:eastAsia="ru-RU"/>
              </w:rPr>
              <w:t>25</w:t>
            </w:r>
            <w:r w:rsidRPr="004E7A03">
              <w:rPr>
                <w:rFonts w:ascii="Times New Roman" w:eastAsia="Times New Roman" w:hAnsi="Times New Roman"/>
                <w:sz w:val="28"/>
                <w:szCs w:val="28"/>
                <w:lang w:eastAsia="ru-RU"/>
              </w:rPr>
              <w:t>»</w:t>
            </w:r>
            <w:r w:rsidR="002C4506">
              <w:rPr>
                <w:rFonts w:ascii="Times New Roman" w:eastAsia="Times New Roman" w:hAnsi="Times New Roman"/>
                <w:sz w:val="28"/>
                <w:szCs w:val="28"/>
                <w:lang w:eastAsia="ru-RU"/>
              </w:rPr>
              <w:t xml:space="preserve">  10   </w:t>
            </w:r>
            <w:r w:rsidRPr="004E7A03">
              <w:rPr>
                <w:rFonts w:ascii="Times New Roman" w:eastAsia="Times New Roman" w:hAnsi="Times New Roman"/>
                <w:sz w:val="28"/>
                <w:szCs w:val="28"/>
                <w:lang w:eastAsia="ru-RU"/>
              </w:rPr>
              <w:t>20</w:t>
            </w:r>
            <w:r w:rsidR="002C4506">
              <w:rPr>
                <w:rFonts w:ascii="Times New Roman" w:eastAsia="Times New Roman" w:hAnsi="Times New Roman"/>
                <w:sz w:val="28"/>
                <w:szCs w:val="28"/>
                <w:lang w:eastAsia="ru-RU"/>
              </w:rPr>
              <w:t xml:space="preserve">21 </w:t>
            </w:r>
            <w:r w:rsidRPr="004E7A03">
              <w:rPr>
                <w:rFonts w:ascii="Times New Roman" w:eastAsia="Times New Roman" w:hAnsi="Times New Roman"/>
                <w:sz w:val="28"/>
                <w:szCs w:val="28"/>
                <w:lang w:eastAsia="ru-RU"/>
              </w:rPr>
              <w:t>г.</w:t>
            </w:r>
          </w:p>
          <w:p w14:paraId="03BCB03B" w14:textId="78492F94" w:rsidR="00523D82" w:rsidRPr="002C4506" w:rsidRDefault="004B58B4" w:rsidP="004B58B4">
            <w:pPr>
              <w:widowControl w:val="0"/>
              <w:spacing w:after="0" w:line="240" w:lineRule="auto"/>
              <w:rPr>
                <w:rFonts w:ascii="Times New Roman" w:eastAsia="Batang" w:hAnsi="Times New Roman"/>
                <w:snapToGrid w:val="0"/>
                <w:sz w:val="28"/>
                <w:szCs w:val="28"/>
                <w:lang w:val="en-US" w:eastAsia="ru-RU"/>
              </w:rPr>
            </w:pPr>
            <w:r w:rsidRPr="004E7A03">
              <w:rPr>
                <w:rFonts w:ascii="Times New Roman" w:eastAsia="Times New Roman" w:hAnsi="Times New Roman"/>
                <w:snapToGrid w:val="0"/>
                <w:sz w:val="28"/>
                <w:szCs w:val="28"/>
                <w:lang w:eastAsia="ru-RU"/>
              </w:rPr>
              <w:t>№</w:t>
            </w:r>
            <w:r w:rsidR="002C4506">
              <w:rPr>
                <w:rFonts w:ascii="Times New Roman" w:eastAsia="Times New Roman" w:hAnsi="Times New Roman"/>
                <w:snapToGrid w:val="0"/>
                <w:sz w:val="28"/>
                <w:szCs w:val="28"/>
                <w:lang w:val="en-US" w:eastAsia="ru-RU"/>
              </w:rPr>
              <w:t>N044012</w:t>
            </w:r>
          </w:p>
        </w:tc>
        <w:tc>
          <w:tcPr>
            <w:tcW w:w="4536" w:type="dxa"/>
          </w:tcPr>
          <w:p w14:paraId="78C184CC" w14:textId="77777777" w:rsidR="00523D82" w:rsidRPr="004E7A03"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4E7A03">
              <w:rPr>
                <w:rFonts w:ascii="Times New Roman" w:eastAsia="Times New Roman" w:hAnsi="Times New Roman"/>
                <w:b/>
                <w:snapToGrid w:val="0"/>
                <w:sz w:val="28"/>
                <w:szCs w:val="28"/>
                <w:lang w:eastAsia="ru-RU"/>
              </w:rPr>
              <w:t xml:space="preserve"> </w:t>
            </w:r>
          </w:p>
        </w:tc>
      </w:tr>
    </w:tbl>
    <w:p w14:paraId="1AA1AC89" w14:textId="77777777" w:rsidR="003662F1" w:rsidRPr="004E7A03"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4764C4A8" w14:textId="77777777" w:rsidR="00D76048" w:rsidRPr="004E7A03"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Инструкция по медицинскому применению</w:t>
      </w:r>
    </w:p>
    <w:p w14:paraId="7FD94668" w14:textId="77777777" w:rsidR="00D76048" w:rsidRPr="004E7A03"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 xml:space="preserve">лекарственного </w:t>
      </w:r>
      <w:r w:rsidR="007D0E84" w:rsidRPr="004E7A03">
        <w:rPr>
          <w:rFonts w:ascii="Times New Roman" w:eastAsia="Times New Roman" w:hAnsi="Times New Roman"/>
          <w:b/>
          <w:sz w:val="28"/>
          <w:szCs w:val="28"/>
          <w:lang w:eastAsia="ru-RU"/>
        </w:rPr>
        <w:t>препарата</w:t>
      </w:r>
      <w:r w:rsidR="00AE7922" w:rsidRPr="004E7A03">
        <w:rPr>
          <w:rFonts w:ascii="Times New Roman" w:eastAsia="Times New Roman" w:hAnsi="Times New Roman"/>
          <w:b/>
          <w:sz w:val="28"/>
          <w:szCs w:val="28"/>
          <w:lang w:eastAsia="ru-RU"/>
        </w:rPr>
        <w:t xml:space="preserve"> (</w:t>
      </w:r>
      <w:r w:rsidR="002C1660" w:rsidRPr="004E7A03">
        <w:rPr>
          <w:rFonts w:ascii="Times New Roman" w:eastAsia="Times New Roman" w:hAnsi="Times New Roman"/>
          <w:b/>
          <w:sz w:val="28"/>
          <w:szCs w:val="28"/>
          <w:lang w:eastAsia="ru-RU"/>
        </w:rPr>
        <w:t>Л</w:t>
      </w:r>
      <w:r w:rsidR="00AE7922" w:rsidRPr="004E7A03">
        <w:rPr>
          <w:rFonts w:ascii="Times New Roman" w:eastAsia="Times New Roman" w:hAnsi="Times New Roman"/>
          <w:b/>
          <w:sz w:val="28"/>
          <w:szCs w:val="28"/>
          <w:lang w:eastAsia="ru-RU"/>
        </w:rPr>
        <w:t>исток-вкладыш)</w:t>
      </w:r>
    </w:p>
    <w:p w14:paraId="4D6EFAC4" w14:textId="77777777" w:rsidR="002C76D7" w:rsidRPr="004E7A03"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35971C20" w14:textId="77777777" w:rsidR="002C76D7" w:rsidRPr="004062DD" w:rsidRDefault="004B58B4" w:rsidP="002C76D7">
      <w:pPr>
        <w:pStyle w:val="Default"/>
        <w:ind w:firstLine="540"/>
        <w:jc w:val="both"/>
      </w:pPr>
      <w:r w:rsidRPr="004062DD">
        <w:t>▼</w:t>
      </w:r>
      <w:r w:rsidR="002C76D7" w:rsidRPr="004062DD">
        <w:t>Лекарственный препарат подлежит дополнительному мониторингу, который способствует быстрому выявлению новых сведений о безопасности. Это позволит в короткий срок выявить новую информацию о безопасности. Обращаемся к работникам системы здравоохранения с просьбой сообщать о любых подозреваемых нежелательных реакциях</w:t>
      </w:r>
      <w:r w:rsidRPr="004062DD">
        <w:t>.</w:t>
      </w:r>
    </w:p>
    <w:p w14:paraId="011ED930" w14:textId="77777777" w:rsidR="00CF5717" w:rsidRPr="004E7A03" w:rsidRDefault="00CF5717" w:rsidP="00653617">
      <w:pPr>
        <w:autoSpaceDE w:val="0"/>
        <w:autoSpaceDN w:val="0"/>
        <w:spacing w:after="0" w:line="240" w:lineRule="auto"/>
        <w:rPr>
          <w:rFonts w:ascii="Times New Roman" w:eastAsia="Times New Roman" w:hAnsi="Times New Roman"/>
          <w:b/>
          <w:sz w:val="28"/>
          <w:szCs w:val="28"/>
          <w:lang w:eastAsia="ru-RU"/>
        </w:rPr>
      </w:pPr>
    </w:p>
    <w:p w14:paraId="177EA696" w14:textId="77777777" w:rsidR="002C76D7" w:rsidRPr="004E7A03"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 xml:space="preserve">Торговое </w:t>
      </w:r>
      <w:r w:rsidR="00E55D6C" w:rsidRPr="004E7A03">
        <w:rPr>
          <w:rFonts w:ascii="Times New Roman" w:eastAsia="Times New Roman" w:hAnsi="Times New Roman"/>
          <w:b/>
          <w:sz w:val="28"/>
          <w:szCs w:val="28"/>
          <w:lang w:eastAsia="ru-RU"/>
        </w:rPr>
        <w:t>наименование</w:t>
      </w:r>
      <w:r w:rsidR="00AE7922" w:rsidRPr="004E7A03">
        <w:rPr>
          <w:rFonts w:ascii="Times New Roman" w:eastAsia="Times New Roman" w:hAnsi="Times New Roman"/>
          <w:b/>
          <w:sz w:val="28"/>
          <w:szCs w:val="28"/>
          <w:lang w:eastAsia="ru-RU"/>
        </w:rPr>
        <w:t xml:space="preserve"> </w:t>
      </w:r>
    </w:p>
    <w:p w14:paraId="70C9790B" w14:textId="77777777" w:rsidR="002C76D7" w:rsidRPr="004E7A03" w:rsidRDefault="004B58B4" w:rsidP="00844CE8">
      <w:pPr>
        <w:autoSpaceDE w:val="0"/>
        <w:autoSpaceDN w:val="0"/>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Долутегравир, эмтрицитабин и тенофовир алафенамид</w:t>
      </w:r>
    </w:p>
    <w:p w14:paraId="7C359B4F" w14:textId="77777777" w:rsidR="004B58B4" w:rsidRPr="004E7A03" w:rsidRDefault="004B58B4" w:rsidP="00844CE8">
      <w:pPr>
        <w:autoSpaceDE w:val="0"/>
        <w:autoSpaceDN w:val="0"/>
        <w:spacing w:after="0" w:line="240" w:lineRule="auto"/>
        <w:jc w:val="both"/>
        <w:rPr>
          <w:rFonts w:ascii="Times New Roman" w:eastAsia="Times New Roman" w:hAnsi="Times New Roman"/>
          <w:bCs/>
          <w:sz w:val="28"/>
          <w:szCs w:val="28"/>
          <w:lang w:eastAsia="ru-RU"/>
        </w:rPr>
      </w:pPr>
    </w:p>
    <w:p w14:paraId="2F94151E" w14:textId="77777777" w:rsidR="002C76D7" w:rsidRPr="004E7A03"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b/>
          <w:sz w:val="28"/>
          <w:szCs w:val="28"/>
          <w:lang w:eastAsia="ru-RU"/>
        </w:rPr>
        <w:t>Международное непатентованное название</w:t>
      </w:r>
    </w:p>
    <w:p w14:paraId="5EFAFDA2" w14:textId="77777777" w:rsidR="002C76D7" w:rsidRPr="004E7A03" w:rsidRDefault="004B58B4" w:rsidP="00844CE8">
      <w:pPr>
        <w:autoSpaceDE w:val="0"/>
        <w:autoSpaceDN w:val="0"/>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Нет</w:t>
      </w:r>
    </w:p>
    <w:p w14:paraId="5DE1129B" w14:textId="77777777" w:rsidR="004B58B4" w:rsidRPr="004E7A03" w:rsidRDefault="004B58B4" w:rsidP="00844CE8">
      <w:pPr>
        <w:autoSpaceDE w:val="0"/>
        <w:autoSpaceDN w:val="0"/>
        <w:spacing w:after="0" w:line="240" w:lineRule="auto"/>
        <w:jc w:val="both"/>
        <w:rPr>
          <w:rFonts w:ascii="Times New Roman" w:eastAsia="Times New Roman" w:hAnsi="Times New Roman"/>
          <w:bCs/>
          <w:sz w:val="28"/>
          <w:szCs w:val="28"/>
          <w:lang w:eastAsia="ru-RU"/>
        </w:rPr>
      </w:pPr>
    </w:p>
    <w:p w14:paraId="1E93AD96" w14:textId="77777777" w:rsidR="00D76048" w:rsidRPr="004E7A03"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 xml:space="preserve">Лекарственная форма, </w:t>
      </w:r>
      <w:r w:rsidR="00AE7922" w:rsidRPr="004E7A03">
        <w:rPr>
          <w:rFonts w:ascii="Times New Roman" w:eastAsia="Times New Roman" w:hAnsi="Times New Roman"/>
          <w:b/>
          <w:sz w:val="28"/>
          <w:szCs w:val="28"/>
          <w:lang w:eastAsia="ru-RU"/>
        </w:rPr>
        <w:t xml:space="preserve">дозировка  </w:t>
      </w:r>
    </w:p>
    <w:p w14:paraId="22770ED6" w14:textId="77777777" w:rsidR="00B01011" w:rsidRPr="004E7A03" w:rsidRDefault="004B58B4" w:rsidP="00844CE8">
      <w:pPr>
        <w:autoSpaceDE w:val="0"/>
        <w:autoSpaceDN w:val="0"/>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Таблетки, покрытые пленочной оболочкой, 50 мг/200 мг/25 мг</w:t>
      </w:r>
    </w:p>
    <w:p w14:paraId="4C80FC30" w14:textId="77777777" w:rsidR="004B58B4" w:rsidRPr="004E7A03" w:rsidRDefault="004B58B4" w:rsidP="00844CE8">
      <w:pPr>
        <w:autoSpaceDE w:val="0"/>
        <w:autoSpaceDN w:val="0"/>
        <w:spacing w:after="0" w:line="240" w:lineRule="auto"/>
        <w:jc w:val="both"/>
        <w:rPr>
          <w:rFonts w:ascii="Times New Roman" w:eastAsia="Times New Roman" w:hAnsi="Times New Roman"/>
          <w:sz w:val="28"/>
          <w:szCs w:val="28"/>
          <w:lang w:eastAsia="ru-RU"/>
        </w:rPr>
      </w:pPr>
    </w:p>
    <w:p w14:paraId="0B578C1E" w14:textId="77777777" w:rsidR="004062DD" w:rsidRDefault="00AE7922" w:rsidP="004062DD">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4E7A03">
        <w:rPr>
          <w:rFonts w:ascii="Times New Roman" w:eastAsia="Times New Roman" w:hAnsi="Times New Roman"/>
          <w:b/>
          <w:bCs/>
          <w:snapToGrid w:val="0"/>
          <w:sz w:val="28"/>
          <w:szCs w:val="28"/>
          <w:lang w:eastAsia="ru-RU"/>
        </w:rPr>
        <w:t>Фармакотерапевтическая</w:t>
      </w:r>
      <w:bookmarkEnd w:id="0"/>
      <w:r w:rsidRPr="004E7A03">
        <w:rPr>
          <w:rFonts w:ascii="Times New Roman" w:eastAsia="Times New Roman" w:hAnsi="Times New Roman"/>
          <w:b/>
          <w:bCs/>
          <w:snapToGrid w:val="0"/>
          <w:sz w:val="28"/>
          <w:szCs w:val="28"/>
          <w:lang w:eastAsia="ru-RU"/>
        </w:rPr>
        <w:t xml:space="preserve"> группа</w:t>
      </w:r>
      <w:r w:rsidR="002C1660" w:rsidRPr="004E7A03">
        <w:rPr>
          <w:rFonts w:ascii="Times New Roman" w:eastAsia="Times New Roman" w:hAnsi="Times New Roman"/>
          <w:b/>
          <w:bCs/>
          <w:snapToGrid w:val="0"/>
          <w:sz w:val="28"/>
          <w:szCs w:val="28"/>
          <w:lang w:eastAsia="ru-RU"/>
        </w:rPr>
        <w:t xml:space="preserve"> </w:t>
      </w:r>
    </w:p>
    <w:p w14:paraId="38A703BC" w14:textId="77777777" w:rsidR="004062DD" w:rsidRDefault="003D43E3" w:rsidP="004062DD">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Pr>
          <w:rFonts w:ascii="Times New Roman" w:hAnsi="Times New Roman"/>
          <w:color w:val="000000"/>
          <w:sz w:val="28"/>
          <w:szCs w:val="28"/>
        </w:rPr>
        <w:t xml:space="preserve">Противоинфекционные препараты для системного использования. </w:t>
      </w:r>
      <w:r w:rsidRPr="003D43E3">
        <w:rPr>
          <w:rFonts w:ascii="Times New Roman" w:hAnsi="Times New Roman"/>
          <w:color w:val="000000"/>
          <w:sz w:val="28"/>
          <w:szCs w:val="28"/>
        </w:rPr>
        <w:t>Противовирусные препараты для системного применения. Противовирусные препараты прямого действия. Противовирусные препараты для лечения ВИЧ-инфекции, комбинации.</w:t>
      </w:r>
    </w:p>
    <w:p w14:paraId="7A471CE8" w14:textId="77777777" w:rsidR="004062DD" w:rsidRDefault="003D43E3" w:rsidP="004062DD">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3D43E3">
        <w:rPr>
          <w:rFonts w:ascii="Times New Roman" w:hAnsi="Times New Roman"/>
          <w:color w:val="000000"/>
          <w:sz w:val="28"/>
          <w:szCs w:val="28"/>
        </w:rPr>
        <w:t>Код ATХ J05AR</w:t>
      </w:r>
    </w:p>
    <w:p w14:paraId="152CF9C7" w14:textId="77777777" w:rsidR="004062DD" w:rsidRDefault="004062DD" w:rsidP="004062DD">
      <w:pPr>
        <w:widowControl w:val="0"/>
        <w:autoSpaceDE w:val="0"/>
        <w:autoSpaceDN w:val="0"/>
        <w:spacing w:after="0" w:line="240" w:lineRule="auto"/>
        <w:jc w:val="both"/>
        <w:rPr>
          <w:rFonts w:ascii="Times New Roman" w:eastAsia="Times New Roman" w:hAnsi="Times New Roman"/>
          <w:bCs/>
          <w:snapToGrid w:val="0"/>
          <w:sz w:val="28"/>
          <w:szCs w:val="28"/>
          <w:lang w:eastAsia="ru-RU"/>
        </w:rPr>
      </w:pPr>
    </w:p>
    <w:p w14:paraId="797706C1" w14:textId="77777777" w:rsidR="002C76D7" w:rsidRPr="004062DD" w:rsidRDefault="005444B2" w:rsidP="004062DD">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4E7A03">
        <w:rPr>
          <w:rFonts w:ascii="Times New Roman" w:eastAsia="Times New Roman" w:hAnsi="Times New Roman"/>
          <w:b/>
          <w:bCs/>
          <w:sz w:val="28"/>
          <w:szCs w:val="28"/>
          <w:lang w:eastAsia="ru-RU"/>
        </w:rPr>
        <w:t>Показания к применению</w:t>
      </w:r>
      <w:r w:rsidR="002C76D7" w:rsidRPr="004E7A03">
        <w:rPr>
          <w:rFonts w:ascii="Times New Roman" w:hAnsi="Times New Roman"/>
          <w:color w:val="000000"/>
          <w:sz w:val="28"/>
          <w:szCs w:val="28"/>
          <w:highlight w:val="cyan"/>
        </w:rPr>
        <w:t xml:space="preserve"> </w:t>
      </w:r>
    </w:p>
    <w:p w14:paraId="664B148B" w14:textId="77777777" w:rsidR="004B58B4" w:rsidRPr="004E7A03" w:rsidRDefault="00937F8F" w:rsidP="004B58B4">
      <w:pPr>
        <w:tabs>
          <w:tab w:val="left" w:pos="8931"/>
        </w:tabs>
        <w:spacing w:after="0" w:line="240" w:lineRule="auto"/>
        <w:jc w:val="both"/>
        <w:rPr>
          <w:rFonts w:ascii="Times New Roman" w:hAnsi="Times New Roman"/>
          <w:sz w:val="28"/>
          <w:szCs w:val="28"/>
        </w:rPr>
      </w:pPr>
      <w:bookmarkStart w:id="1" w:name="_Hlk58225804"/>
      <w:r>
        <w:rPr>
          <w:rFonts w:ascii="Times New Roman" w:hAnsi="Times New Roman"/>
          <w:sz w:val="28"/>
          <w:szCs w:val="28"/>
        </w:rPr>
        <w:t>- п</w:t>
      </w:r>
      <w:r w:rsidR="004B58B4" w:rsidRPr="004E7A03">
        <w:rPr>
          <w:rFonts w:ascii="Times New Roman" w:hAnsi="Times New Roman"/>
          <w:sz w:val="28"/>
          <w:szCs w:val="28"/>
        </w:rPr>
        <w:t xml:space="preserve">репарат </w:t>
      </w:r>
      <w:r w:rsidR="004B58B4" w:rsidRPr="004E7A03">
        <w:rPr>
          <w:rFonts w:ascii="Times New Roman" w:eastAsia="Times New Roman" w:hAnsi="Times New Roman"/>
          <w:sz w:val="28"/>
          <w:szCs w:val="28"/>
          <w:lang w:eastAsia="ru-RU"/>
        </w:rPr>
        <w:t>Долутегравир, эмтрицитабин и тенофовир алафенамид</w:t>
      </w:r>
      <w:r w:rsidR="004B58B4" w:rsidRPr="004E7A03">
        <w:rPr>
          <w:rFonts w:ascii="Times New Roman" w:hAnsi="Times New Roman"/>
          <w:sz w:val="28"/>
          <w:szCs w:val="28"/>
        </w:rPr>
        <w:t xml:space="preserve"> показан к применению отдельно в качестве полной схемы лечения инфекции вируса иммунодефицита человека 1 типа (ВИЧ-1) у взрослых и детей с массой тела не менее 40 кг. </w:t>
      </w:r>
    </w:p>
    <w:p w14:paraId="69601134" w14:textId="77777777" w:rsidR="004B58B4" w:rsidRPr="004E7A03" w:rsidRDefault="004B58B4" w:rsidP="004B58B4">
      <w:pPr>
        <w:tabs>
          <w:tab w:val="left" w:pos="8931"/>
        </w:tabs>
        <w:spacing w:after="0" w:line="240" w:lineRule="auto"/>
        <w:jc w:val="both"/>
        <w:rPr>
          <w:rFonts w:ascii="Times New Roman" w:hAnsi="Times New Roman"/>
          <w:sz w:val="28"/>
          <w:szCs w:val="28"/>
        </w:rPr>
      </w:pPr>
      <w:bookmarkStart w:id="2" w:name="_Hlk77949328"/>
      <w:r w:rsidRPr="004E7A03">
        <w:rPr>
          <w:rFonts w:ascii="Times New Roman" w:hAnsi="Times New Roman"/>
          <w:sz w:val="28"/>
          <w:szCs w:val="28"/>
        </w:rPr>
        <w:t xml:space="preserve">Терапию должен </w:t>
      </w:r>
      <w:r w:rsidR="00937F8F">
        <w:rPr>
          <w:rFonts w:ascii="Times New Roman" w:hAnsi="Times New Roman"/>
          <w:sz w:val="28"/>
          <w:szCs w:val="28"/>
        </w:rPr>
        <w:t>начинать</w:t>
      </w:r>
      <w:r w:rsidRPr="004E7A03">
        <w:rPr>
          <w:rFonts w:ascii="Times New Roman" w:hAnsi="Times New Roman"/>
          <w:sz w:val="28"/>
          <w:szCs w:val="28"/>
        </w:rPr>
        <w:t xml:space="preserve"> врач, имеющий опыт лечения ВИЧ-инфекции.</w:t>
      </w:r>
    </w:p>
    <w:p w14:paraId="2580E9A2" w14:textId="77777777" w:rsidR="004B58B4" w:rsidRPr="00937F8F" w:rsidRDefault="004B58B4" w:rsidP="004B58B4">
      <w:pPr>
        <w:tabs>
          <w:tab w:val="left" w:pos="8931"/>
        </w:tabs>
        <w:spacing w:after="0" w:line="240" w:lineRule="auto"/>
        <w:jc w:val="both"/>
        <w:rPr>
          <w:rFonts w:ascii="Times New Roman" w:hAnsi="Times New Roman"/>
          <w:bCs/>
          <w:i/>
          <w:iCs/>
          <w:sz w:val="28"/>
          <w:szCs w:val="28"/>
        </w:rPr>
      </w:pPr>
      <w:bookmarkStart w:id="3" w:name="_Hlk58225825"/>
      <w:bookmarkEnd w:id="1"/>
      <w:bookmarkEnd w:id="2"/>
      <w:r w:rsidRPr="00937F8F">
        <w:rPr>
          <w:rFonts w:ascii="Times New Roman" w:hAnsi="Times New Roman"/>
          <w:bCs/>
          <w:i/>
          <w:iCs/>
          <w:sz w:val="28"/>
          <w:szCs w:val="28"/>
        </w:rPr>
        <w:t>Ограничения к применению:</w:t>
      </w:r>
    </w:p>
    <w:p w14:paraId="5D8FBB59" w14:textId="77777777" w:rsidR="004B58B4" w:rsidRPr="004E7A03" w:rsidRDefault="004B58B4" w:rsidP="004B58B4">
      <w:pPr>
        <w:spacing w:after="0" w:line="240" w:lineRule="auto"/>
        <w:jc w:val="both"/>
        <w:rPr>
          <w:rFonts w:ascii="Times New Roman" w:hAnsi="Times New Roman"/>
          <w:sz w:val="28"/>
          <w:szCs w:val="28"/>
        </w:rPr>
      </w:pPr>
      <w:r w:rsidRPr="004E7A03">
        <w:rPr>
          <w:rFonts w:ascii="Times New Roman" w:hAnsi="Times New Roman"/>
          <w:sz w:val="28"/>
          <w:szCs w:val="28"/>
        </w:rPr>
        <w:t xml:space="preserve">• </w:t>
      </w:r>
      <w:r w:rsidR="00937F8F">
        <w:rPr>
          <w:rFonts w:ascii="Times New Roman" w:hAnsi="Times New Roman"/>
          <w:sz w:val="28"/>
          <w:szCs w:val="28"/>
        </w:rPr>
        <w:t>п</w:t>
      </w:r>
      <w:r w:rsidRPr="004E7A03">
        <w:rPr>
          <w:rFonts w:ascii="Times New Roman" w:hAnsi="Times New Roman"/>
          <w:sz w:val="28"/>
          <w:szCs w:val="28"/>
        </w:rPr>
        <w:t xml:space="preserve">репарат </w:t>
      </w:r>
      <w:r w:rsidRPr="004E7A03">
        <w:rPr>
          <w:rFonts w:ascii="Times New Roman" w:eastAsia="Times New Roman" w:hAnsi="Times New Roman"/>
          <w:sz w:val="28"/>
          <w:szCs w:val="28"/>
          <w:lang w:eastAsia="ru-RU"/>
        </w:rPr>
        <w:t>Долутегравир, эмтрицитабин и тенофовир алафенамид</w:t>
      </w:r>
      <w:r w:rsidRPr="004E7A03">
        <w:rPr>
          <w:rFonts w:ascii="Times New Roman" w:hAnsi="Times New Roman"/>
          <w:sz w:val="28"/>
          <w:szCs w:val="28"/>
        </w:rPr>
        <w:t xml:space="preserve"> в отдельности не рекомендуется пациентам с резистентными заменами интегразы или клинически подозреваемой резистентностью к ингибитору переноса цепи интегразы, поскольку доза долутегравира в таблетках </w:t>
      </w:r>
      <w:r w:rsidRPr="004E7A03">
        <w:rPr>
          <w:rFonts w:ascii="Times New Roman" w:hAnsi="Times New Roman"/>
          <w:sz w:val="28"/>
          <w:szCs w:val="28"/>
        </w:rPr>
        <w:lastRenderedPageBreak/>
        <w:t xml:space="preserve">препарата </w:t>
      </w:r>
      <w:r w:rsidRPr="004E7A03">
        <w:rPr>
          <w:rFonts w:ascii="Times New Roman" w:eastAsia="Times New Roman" w:hAnsi="Times New Roman"/>
          <w:sz w:val="28"/>
          <w:szCs w:val="28"/>
          <w:lang w:eastAsia="ru-RU"/>
        </w:rPr>
        <w:t>Долутегравир, эмтрицитабин и тенофовир алафенамид</w:t>
      </w:r>
      <w:r w:rsidRPr="004E7A03">
        <w:rPr>
          <w:rFonts w:ascii="Times New Roman" w:hAnsi="Times New Roman"/>
          <w:sz w:val="28"/>
          <w:szCs w:val="28"/>
        </w:rPr>
        <w:t xml:space="preserve"> недостаточна в данных подгруппах (</w:t>
      </w:r>
      <w:r w:rsidR="00937F8F">
        <w:rPr>
          <w:rFonts w:ascii="Times New Roman" w:hAnsi="Times New Roman"/>
          <w:sz w:val="28"/>
          <w:szCs w:val="28"/>
        </w:rPr>
        <w:t>с</w:t>
      </w:r>
      <w:r w:rsidRPr="004E7A03">
        <w:rPr>
          <w:rFonts w:ascii="Times New Roman" w:hAnsi="Times New Roman"/>
          <w:sz w:val="28"/>
          <w:szCs w:val="28"/>
        </w:rPr>
        <w:t>м. инструкцию по применению долутегравира).</w:t>
      </w:r>
    </w:p>
    <w:p w14:paraId="6E133AD1" w14:textId="77777777" w:rsidR="004B58B4" w:rsidRPr="004E7A03" w:rsidRDefault="004B58B4" w:rsidP="004B58B4">
      <w:pPr>
        <w:spacing w:after="0" w:line="240" w:lineRule="auto"/>
        <w:jc w:val="both"/>
        <w:rPr>
          <w:rFonts w:ascii="Times New Roman" w:hAnsi="Times New Roman"/>
          <w:sz w:val="28"/>
          <w:szCs w:val="28"/>
        </w:rPr>
      </w:pPr>
      <w:r w:rsidRPr="004E7A03">
        <w:rPr>
          <w:rFonts w:ascii="Times New Roman" w:hAnsi="Times New Roman"/>
          <w:sz w:val="28"/>
          <w:szCs w:val="28"/>
        </w:rPr>
        <w:t xml:space="preserve">• препарат </w:t>
      </w:r>
      <w:r w:rsidRPr="004E7A03">
        <w:rPr>
          <w:rFonts w:ascii="Times New Roman" w:eastAsia="Times New Roman" w:hAnsi="Times New Roman"/>
          <w:sz w:val="28"/>
          <w:szCs w:val="28"/>
          <w:lang w:eastAsia="ru-RU"/>
        </w:rPr>
        <w:t>Долутегравир, эмтрицитабин и тенофовир алафенамид</w:t>
      </w:r>
      <w:r w:rsidRPr="004E7A03">
        <w:rPr>
          <w:rFonts w:ascii="Times New Roman" w:hAnsi="Times New Roman"/>
          <w:sz w:val="28"/>
          <w:szCs w:val="28"/>
        </w:rPr>
        <w:t xml:space="preserve"> не показан для использования в качестве предконтактной профилактики для снижения риска заражения ВИЧ-1 половым путем у взрослых, находящихся в группе большого риска.</w:t>
      </w:r>
    </w:p>
    <w:bookmarkEnd w:id="3"/>
    <w:p w14:paraId="72C45CEF" w14:textId="77777777" w:rsidR="00844CE8" w:rsidRPr="004E7A03" w:rsidRDefault="00844CE8" w:rsidP="00844CE8">
      <w:pPr>
        <w:spacing w:after="0" w:line="240" w:lineRule="auto"/>
        <w:jc w:val="both"/>
        <w:rPr>
          <w:rFonts w:ascii="Times New Roman" w:eastAsia="Times New Roman" w:hAnsi="Times New Roman"/>
          <w:b/>
          <w:sz w:val="28"/>
          <w:szCs w:val="28"/>
          <w:lang w:eastAsia="ru-RU"/>
        </w:rPr>
      </w:pPr>
    </w:p>
    <w:p w14:paraId="722E2426" w14:textId="77777777" w:rsidR="00DB406A" w:rsidRPr="004E7A03" w:rsidRDefault="00DB406A" w:rsidP="00844CE8">
      <w:pPr>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Перечень сведений, н</w:t>
      </w:r>
      <w:r w:rsidR="00844CE8" w:rsidRPr="004E7A03">
        <w:rPr>
          <w:rFonts w:ascii="Times New Roman" w:eastAsia="Times New Roman" w:hAnsi="Times New Roman"/>
          <w:b/>
          <w:sz w:val="28"/>
          <w:szCs w:val="28"/>
          <w:lang w:eastAsia="ru-RU"/>
        </w:rPr>
        <w:t>еобходимых до начала применения</w:t>
      </w:r>
    </w:p>
    <w:p w14:paraId="6F2DB239" w14:textId="77777777" w:rsidR="007D0E84" w:rsidRPr="004E7A03" w:rsidRDefault="007D0E84" w:rsidP="00844CE8">
      <w:pPr>
        <w:spacing w:after="0" w:line="240" w:lineRule="auto"/>
        <w:jc w:val="both"/>
        <w:rPr>
          <w:rFonts w:ascii="Times New Roman" w:eastAsia="Times New Roman" w:hAnsi="Times New Roman"/>
          <w:b/>
          <w:i/>
          <w:sz w:val="28"/>
          <w:szCs w:val="28"/>
          <w:lang w:eastAsia="ru-RU"/>
        </w:rPr>
      </w:pPr>
      <w:r w:rsidRPr="004E7A03">
        <w:rPr>
          <w:rFonts w:ascii="Times New Roman" w:eastAsia="Times New Roman" w:hAnsi="Times New Roman"/>
          <w:b/>
          <w:i/>
          <w:sz w:val="28"/>
          <w:szCs w:val="28"/>
          <w:lang w:eastAsia="ru-RU"/>
        </w:rPr>
        <w:t>Противопоказания</w:t>
      </w:r>
    </w:p>
    <w:p w14:paraId="471B2E9E" w14:textId="77777777" w:rsidR="004B58B4" w:rsidRPr="004E7A03" w:rsidRDefault="008C704A" w:rsidP="004B58B4">
      <w:pPr>
        <w:autoSpaceDE w:val="0"/>
        <w:autoSpaceDN w:val="0"/>
        <w:spacing w:after="0" w:line="240" w:lineRule="auto"/>
        <w:jc w:val="both"/>
        <w:rPr>
          <w:rFonts w:ascii="Times New Roman" w:hAnsi="Times New Roman"/>
          <w:sz w:val="28"/>
          <w:szCs w:val="28"/>
        </w:rPr>
      </w:pPr>
      <w:bookmarkStart w:id="4" w:name="_Hlk58225846"/>
      <w:r>
        <w:rPr>
          <w:rFonts w:ascii="Times New Roman" w:hAnsi="Times New Roman"/>
          <w:sz w:val="28"/>
          <w:szCs w:val="28"/>
        </w:rPr>
        <w:t>- пациентам</w:t>
      </w:r>
      <w:r w:rsidR="004B58B4" w:rsidRPr="004E7A03">
        <w:rPr>
          <w:rFonts w:ascii="Times New Roman" w:hAnsi="Times New Roman"/>
          <w:sz w:val="28"/>
          <w:szCs w:val="28"/>
        </w:rPr>
        <w:t xml:space="preserve"> с предшествующей реакцией гиперчувствительности на долутегравир</w:t>
      </w:r>
    </w:p>
    <w:p w14:paraId="78D82B40" w14:textId="77777777" w:rsidR="004B58B4" w:rsidRDefault="008C704A" w:rsidP="004B58B4">
      <w:pPr>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4B58B4" w:rsidRPr="004E7A03">
        <w:rPr>
          <w:rFonts w:ascii="Times New Roman" w:hAnsi="Times New Roman"/>
          <w:sz w:val="28"/>
          <w:szCs w:val="28"/>
        </w:rPr>
        <w:t>прием дофетилида из-за возможно</w:t>
      </w:r>
      <w:r>
        <w:rPr>
          <w:rFonts w:ascii="Times New Roman" w:hAnsi="Times New Roman"/>
          <w:sz w:val="28"/>
          <w:szCs w:val="28"/>
        </w:rPr>
        <w:t>го</w:t>
      </w:r>
      <w:r w:rsidR="004B58B4" w:rsidRPr="004E7A03">
        <w:rPr>
          <w:rFonts w:ascii="Times New Roman" w:hAnsi="Times New Roman"/>
          <w:sz w:val="28"/>
          <w:szCs w:val="28"/>
        </w:rPr>
        <w:t xml:space="preserve"> повышения концентрации дофетилида в плазме и риска серьезных и/или опасных для жизни событий.</w:t>
      </w:r>
    </w:p>
    <w:p w14:paraId="18003DDF" w14:textId="77777777" w:rsidR="00000062" w:rsidRPr="00844CE8" w:rsidRDefault="00000062" w:rsidP="00000062">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Необходимые меры предосторожности при применении</w:t>
      </w:r>
    </w:p>
    <w:p w14:paraId="5C526528" w14:textId="77777777" w:rsidR="00000062" w:rsidRPr="004E7A03" w:rsidRDefault="00000062" w:rsidP="004B58B4">
      <w:pPr>
        <w:autoSpaceDE w:val="0"/>
        <w:autoSpaceDN w:val="0"/>
        <w:spacing w:after="0" w:line="240" w:lineRule="auto"/>
        <w:jc w:val="both"/>
        <w:rPr>
          <w:rFonts w:ascii="Times New Roman" w:hAnsi="Times New Roman"/>
          <w:sz w:val="28"/>
          <w:szCs w:val="28"/>
        </w:rPr>
      </w:pPr>
      <w:r w:rsidRPr="00000062">
        <w:rPr>
          <w:rFonts w:ascii="Times New Roman" w:hAnsi="Times New Roman"/>
          <w:sz w:val="28"/>
          <w:szCs w:val="28"/>
        </w:rPr>
        <w:t>Терапию</w:t>
      </w:r>
      <w:r>
        <w:rPr>
          <w:rFonts w:ascii="Times New Roman" w:hAnsi="Times New Roman"/>
          <w:sz w:val="28"/>
          <w:szCs w:val="28"/>
        </w:rPr>
        <w:t xml:space="preserve"> данным препаратом</w:t>
      </w:r>
      <w:r w:rsidRPr="00000062">
        <w:rPr>
          <w:rFonts w:ascii="Times New Roman" w:hAnsi="Times New Roman"/>
          <w:sz w:val="28"/>
          <w:szCs w:val="28"/>
        </w:rPr>
        <w:t xml:space="preserve"> должен начинать врач, имеющий опыт лечения ВИЧ-инфекции.</w:t>
      </w:r>
    </w:p>
    <w:bookmarkEnd w:id="4"/>
    <w:p w14:paraId="5FFFA4DE" w14:textId="77777777" w:rsidR="007D0E84" w:rsidRPr="004E7A03" w:rsidRDefault="007D0E84" w:rsidP="00844CE8">
      <w:pPr>
        <w:spacing w:after="0" w:line="240" w:lineRule="auto"/>
        <w:jc w:val="both"/>
        <w:rPr>
          <w:rFonts w:ascii="Times New Roman" w:eastAsia="Times New Roman" w:hAnsi="Times New Roman"/>
          <w:b/>
          <w:i/>
          <w:sz w:val="28"/>
          <w:szCs w:val="28"/>
          <w:lang w:eastAsia="ru-RU"/>
        </w:rPr>
      </w:pPr>
      <w:r w:rsidRPr="004E7A03">
        <w:rPr>
          <w:rFonts w:ascii="Times New Roman" w:eastAsia="Times New Roman" w:hAnsi="Times New Roman"/>
          <w:b/>
          <w:i/>
          <w:sz w:val="28"/>
          <w:szCs w:val="28"/>
          <w:lang w:eastAsia="ru-RU"/>
        </w:rPr>
        <w:t>Взаимодействия с другими лекарственными препаратами</w:t>
      </w:r>
    </w:p>
    <w:p w14:paraId="6D64C3B8"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bookmarkStart w:id="5" w:name="_Hlk58315440"/>
      <w:r w:rsidRPr="00871E30">
        <w:rPr>
          <w:rFonts w:ascii="Times New Roman" w:eastAsia="Times New Roman" w:hAnsi="Times New Roman"/>
          <w:bCs/>
          <w:i/>
          <w:iCs/>
          <w:sz w:val="28"/>
          <w:szCs w:val="28"/>
          <w:lang w:val="en-US" w:eastAsia="ru-RU"/>
        </w:rPr>
        <w:t>In</w:t>
      </w:r>
      <w:r w:rsidRPr="00871E30">
        <w:rPr>
          <w:rFonts w:ascii="Times New Roman" w:eastAsia="Times New Roman" w:hAnsi="Times New Roman"/>
          <w:bCs/>
          <w:i/>
          <w:iCs/>
          <w:sz w:val="28"/>
          <w:szCs w:val="28"/>
          <w:lang w:eastAsia="ru-RU"/>
        </w:rPr>
        <w:t xml:space="preserve"> </w:t>
      </w:r>
      <w:r w:rsidRPr="00871E30">
        <w:rPr>
          <w:rFonts w:ascii="Times New Roman" w:eastAsia="Times New Roman" w:hAnsi="Times New Roman"/>
          <w:bCs/>
          <w:i/>
          <w:iCs/>
          <w:sz w:val="28"/>
          <w:szCs w:val="28"/>
          <w:lang w:val="en-US" w:eastAsia="ru-RU"/>
        </w:rPr>
        <w:t>vitro</w:t>
      </w:r>
      <w:r w:rsidRPr="00871E30">
        <w:rPr>
          <w:rFonts w:ascii="Times New Roman" w:eastAsia="Times New Roman" w:hAnsi="Times New Roman"/>
          <w:bCs/>
          <w:sz w:val="28"/>
          <w:szCs w:val="28"/>
          <w:lang w:eastAsia="ru-RU"/>
        </w:rPr>
        <w:t xml:space="preserve"> долутегравир ингибирует почечные транспортеры органических катионов </w:t>
      </w:r>
      <w:r w:rsidRPr="00871E30">
        <w:rPr>
          <w:rFonts w:ascii="Times New Roman" w:eastAsia="Times New Roman" w:hAnsi="Times New Roman"/>
          <w:bCs/>
          <w:sz w:val="28"/>
          <w:szCs w:val="28"/>
          <w:lang w:val="en-US" w:eastAsia="ru-RU"/>
        </w:rPr>
        <w:t>OCT</w:t>
      </w:r>
      <w:r w:rsidRPr="00871E30">
        <w:rPr>
          <w:rFonts w:ascii="Times New Roman" w:eastAsia="Times New Roman" w:hAnsi="Times New Roman"/>
          <w:bCs/>
          <w:sz w:val="28"/>
          <w:szCs w:val="28"/>
          <w:lang w:eastAsia="ru-RU"/>
        </w:rPr>
        <w:t>2 (</w:t>
      </w:r>
      <w:r w:rsidRPr="00871E30">
        <w:rPr>
          <w:rFonts w:ascii="Times New Roman" w:eastAsia="Times New Roman" w:hAnsi="Times New Roman"/>
          <w:bCs/>
          <w:sz w:val="28"/>
          <w:szCs w:val="28"/>
          <w:lang w:val="en-US" w:eastAsia="ru-RU"/>
        </w:rPr>
        <w:t>IC</w:t>
      </w:r>
      <w:r w:rsidRPr="00871E30">
        <w:rPr>
          <w:rFonts w:ascii="Times New Roman" w:eastAsia="Times New Roman" w:hAnsi="Times New Roman"/>
          <w:bCs/>
          <w:sz w:val="28"/>
          <w:szCs w:val="28"/>
          <w:vertAlign w:val="subscript"/>
          <w:lang w:eastAsia="ru-RU"/>
        </w:rPr>
        <w:t>50</w:t>
      </w:r>
      <w:r w:rsidR="004062DD">
        <w:rPr>
          <w:rFonts w:ascii="Times New Roman" w:eastAsia="Times New Roman" w:hAnsi="Times New Roman"/>
          <w:bCs/>
          <w:sz w:val="28"/>
          <w:szCs w:val="28"/>
          <w:lang w:eastAsia="ru-RU"/>
        </w:rPr>
        <w:t>=</w:t>
      </w:r>
      <w:r w:rsidRPr="00871E30">
        <w:rPr>
          <w:rFonts w:ascii="Times New Roman" w:eastAsia="Times New Roman" w:hAnsi="Times New Roman"/>
          <w:bCs/>
          <w:sz w:val="28"/>
          <w:szCs w:val="28"/>
          <w:lang w:eastAsia="ru-RU"/>
        </w:rPr>
        <w:t>1,93 мкм) и мультилекарственный экструзионный транспортер токсинов (</w:t>
      </w:r>
      <w:r w:rsidRPr="00871E30">
        <w:rPr>
          <w:rFonts w:ascii="Times New Roman" w:eastAsia="Times New Roman" w:hAnsi="Times New Roman"/>
          <w:bCs/>
          <w:sz w:val="28"/>
          <w:szCs w:val="28"/>
          <w:lang w:val="en-US" w:eastAsia="ru-RU"/>
        </w:rPr>
        <w:t>MATE</w:t>
      </w:r>
      <w:r w:rsidRPr="00871E30">
        <w:rPr>
          <w:rFonts w:ascii="Times New Roman" w:eastAsia="Times New Roman" w:hAnsi="Times New Roman"/>
          <w:bCs/>
          <w:sz w:val="28"/>
          <w:szCs w:val="28"/>
          <w:lang w:eastAsia="ru-RU"/>
        </w:rPr>
        <w:t>) 1 (</w:t>
      </w:r>
      <w:r w:rsidRPr="00871E30">
        <w:rPr>
          <w:rFonts w:ascii="Times New Roman" w:eastAsia="Times New Roman" w:hAnsi="Times New Roman"/>
          <w:bCs/>
          <w:sz w:val="28"/>
          <w:szCs w:val="28"/>
          <w:lang w:val="en-US" w:eastAsia="ru-RU"/>
        </w:rPr>
        <w:t>IC</w:t>
      </w:r>
      <w:r w:rsidRPr="00871E30">
        <w:rPr>
          <w:rFonts w:ascii="Times New Roman" w:eastAsia="Times New Roman" w:hAnsi="Times New Roman"/>
          <w:bCs/>
          <w:sz w:val="28"/>
          <w:szCs w:val="28"/>
          <w:vertAlign w:val="subscript"/>
          <w:lang w:eastAsia="ru-RU"/>
        </w:rPr>
        <w:t>50</w:t>
      </w:r>
      <w:r w:rsidR="004062DD">
        <w:rPr>
          <w:rFonts w:ascii="Times New Roman" w:eastAsia="Times New Roman" w:hAnsi="Times New Roman"/>
          <w:bCs/>
          <w:sz w:val="28"/>
          <w:szCs w:val="28"/>
          <w:lang w:eastAsia="ru-RU"/>
        </w:rPr>
        <w:t>=</w:t>
      </w:r>
      <w:r w:rsidRPr="00871E30">
        <w:rPr>
          <w:rFonts w:ascii="Times New Roman" w:eastAsia="Times New Roman" w:hAnsi="Times New Roman"/>
          <w:bCs/>
          <w:sz w:val="28"/>
          <w:szCs w:val="28"/>
          <w:lang w:eastAsia="ru-RU"/>
        </w:rPr>
        <w:t xml:space="preserve">6,34 мкм). </w:t>
      </w:r>
      <w:r w:rsidRPr="00871E30">
        <w:rPr>
          <w:rFonts w:ascii="Times New Roman" w:eastAsia="Times New Roman" w:hAnsi="Times New Roman"/>
          <w:bCs/>
          <w:i/>
          <w:iCs/>
          <w:sz w:val="28"/>
          <w:szCs w:val="28"/>
          <w:lang w:val="en-US" w:eastAsia="ru-RU"/>
        </w:rPr>
        <w:t>In</w:t>
      </w:r>
      <w:r w:rsidRPr="00871E30">
        <w:rPr>
          <w:rFonts w:ascii="Times New Roman" w:eastAsia="Times New Roman" w:hAnsi="Times New Roman"/>
          <w:bCs/>
          <w:i/>
          <w:iCs/>
          <w:sz w:val="28"/>
          <w:szCs w:val="28"/>
          <w:lang w:eastAsia="ru-RU"/>
        </w:rPr>
        <w:t xml:space="preserve"> </w:t>
      </w:r>
      <w:r w:rsidRPr="00871E30">
        <w:rPr>
          <w:rFonts w:ascii="Times New Roman" w:eastAsia="Times New Roman" w:hAnsi="Times New Roman"/>
          <w:bCs/>
          <w:i/>
          <w:iCs/>
          <w:sz w:val="28"/>
          <w:szCs w:val="28"/>
          <w:lang w:val="en-US" w:eastAsia="ru-RU"/>
        </w:rPr>
        <w:t>vivo</w:t>
      </w:r>
      <w:r w:rsidRPr="00871E30">
        <w:rPr>
          <w:rFonts w:ascii="Times New Roman" w:eastAsia="Times New Roman" w:hAnsi="Times New Roman"/>
          <w:bCs/>
          <w:sz w:val="28"/>
          <w:szCs w:val="28"/>
          <w:lang w:eastAsia="ru-RU"/>
        </w:rPr>
        <w:t xml:space="preserve"> долутегравир ингибирует канальцевую секрецию креатинина, ингибируя </w:t>
      </w:r>
      <w:r w:rsidRPr="00871E30">
        <w:rPr>
          <w:rFonts w:ascii="Times New Roman" w:eastAsia="Times New Roman" w:hAnsi="Times New Roman"/>
          <w:bCs/>
          <w:sz w:val="28"/>
          <w:szCs w:val="28"/>
          <w:lang w:val="en-US" w:eastAsia="ru-RU"/>
        </w:rPr>
        <w:t>OCT</w:t>
      </w:r>
      <w:r w:rsidRPr="00871E30">
        <w:rPr>
          <w:rFonts w:ascii="Times New Roman" w:eastAsia="Times New Roman" w:hAnsi="Times New Roman"/>
          <w:bCs/>
          <w:sz w:val="28"/>
          <w:szCs w:val="28"/>
          <w:lang w:eastAsia="ru-RU"/>
        </w:rPr>
        <w:t xml:space="preserve">2 и потенциально </w:t>
      </w:r>
      <w:r w:rsidRPr="00871E30">
        <w:rPr>
          <w:rFonts w:ascii="Times New Roman" w:eastAsia="Times New Roman" w:hAnsi="Times New Roman"/>
          <w:bCs/>
          <w:sz w:val="28"/>
          <w:szCs w:val="28"/>
          <w:lang w:val="en-US" w:eastAsia="ru-RU"/>
        </w:rPr>
        <w:t>MATE</w:t>
      </w:r>
      <w:r w:rsidRPr="00871E30">
        <w:rPr>
          <w:rFonts w:ascii="Times New Roman" w:eastAsia="Times New Roman" w:hAnsi="Times New Roman"/>
          <w:bCs/>
          <w:sz w:val="28"/>
          <w:szCs w:val="28"/>
          <w:lang w:eastAsia="ru-RU"/>
        </w:rPr>
        <w:t xml:space="preserve">1. Долутегравир может повышать концентрацию в плазме крови препаратов, выведенных через </w:t>
      </w:r>
      <w:r w:rsidRPr="00871E30">
        <w:rPr>
          <w:rFonts w:ascii="Times New Roman" w:eastAsia="Times New Roman" w:hAnsi="Times New Roman"/>
          <w:bCs/>
          <w:sz w:val="28"/>
          <w:szCs w:val="28"/>
          <w:lang w:val="en-US" w:eastAsia="ru-RU"/>
        </w:rPr>
        <w:t>OCT</w:t>
      </w:r>
      <w:r w:rsidRPr="00871E30">
        <w:rPr>
          <w:rFonts w:ascii="Times New Roman" w:eastAsia="Times New Roman" w:hAnsi="Times New Roman"/>
          <w:bCs/>
          <w:sz w:val="28"/>
          <w:szCs w:val="28"/>
          <w:lang w:eastAsia="ru-RU"/>
        </w:rPr>
        <w:t xml:space="preserve">2 или </w:t>
      </w:r>
      <w:r w:rsidRPr="00871E30">
        <w:rPr>
          <w:rFonts w:ascii="Times New Roman" w:eastAsia="Times New Roman" w:hAnsi="Times New Roman"/>
          <w:bCs/>
          <w:sz w:val="28"/>
          <w:szCs w:val="28"/>
          <w:lang w:val="en-US" w:eastAsia="ru-RU"/>
        </w:rPr>
        <w:t>MATE</w:t>
      </w:r>
      <w:r w:rsidRPr="00871E30">
        <w:rPr>
          <w:rFonts w:ascii="Times New Roman" w:eastAsia="Times New Roman" w:hAnsi="Times New Roman"/>
          <w:bCs/>
          <w:sz w:val="28"/>
          <w:szCs w:val="28"/>
          <w:lang w:eastAsia="ru-RU"/>
        </w:rPr>
        <w:t>1 (дофетилид и метформин, см. табл. 3).</w:t>
      </w:r>
    </w:p>
    <w:p w14:paraId="4DB55956"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xml:space="preserve"> долутегравир подавлял базолатеральные почечные транспортеры, транспортер органических анионов (ОАТ) 1 (IC</w:t>
      </w:r>
      <w:r w:rsidRPr="00871E30">
        <w:rPr>
          <w:rFonts w:ascii="Times New Roman" w:eastAsia="Times New Roman" w:hAnsi="Times New Roman"/>
          <w:bCs/>
          <w:sz w:val="28"/>
          <w:szCs w:val="28"/>
          <w:vertAlign w:val="subscript"/>
          <w:lang w:eastAsia="ru-RU"/>
        </w:rPr>
        <w:t>50</w:t>
      </w:r>
      <w:r w:rsidR="004062DD">
        <w:rPr>
          <w:rFonts w:ascii="Times New Roman" w:eastAsia="Times New Roman" w:hAnsi="Times New Roman"/>
          <w:bCs/>
          <w:sz w:val="28"/>
          <w:szCs w:val="28"/>
          <w:lang w:eastAsia="ru-RU"/>
        </w:rPr>
        <w:t>=</w:t>
      </w:r>
      <w:r w:rsidRPr="00871E30">
        <w:rPr>
          <w:rFonts w:ascii="Times New Roman" w:eastAsia="Times New Roman" w:hAnsi="Times New Roman"/>
          <w:bCs/>
          <w:sz w:val="28"/>
          <w:szCs w:val="28"/>
          <w:lang w:eastAsia="ru-RU"/>
        </w:rPr>
        <w:t>2,12 мкм) и OAT3 (IC</w:t>
      </w:r>
      <w:r w:rsidRPr="00871E30">
        <w:rPr>
          <w:rFonts w:ascii="Times New Roman" w:eastAsia="Times New Roman" w:hAnsi="Times New Roman"/>
          <w:bCs/>
          <w:sz w:val="28"/>
          <w:szCs w:val="28"/>
          <w:vertAlign w:val="subscript"/>
          <w:lang w:eastAsia="ru-RU"/>
        </w:rPr>
        <w:t>50</w:t>
      </w:r>
      <w:r w:rsidR="004062DD">
        <w:rPr>
          <w:rFonts w:ascii="Times New Roman" w:eastAsia="Times New Roman" w:hAnsi="Times New Roman"/>
          <w:bCs/>
          <w:sz w:val="28"/>
          <w:szCs w:val="28"/>
          <w:lang w:eastAsia="ru-RU"/>
        </w:rPr>
        <w:t>=</w:t>
      </w:r>
      <w:r w:rsidRPr="00871E30">
        <w:rPr>
          <w:rFonts w:ascii="Times New Roman" w:eastAsia="Times New Roman" w:hAnsi="Times New Roman"/>
          <w:bCs/>
          <w:sz w:val="28"/>
          <w:szCs w:val="28"/>
          <w:lang w:eastAsia="ru-RU"/>
        </w:rPr>
        <w:t>1,97 мкм). Однако</w:t>
      </w:r>
      <w:r w:rsidRPr="00871E30">
        <w:rPr>
          <w:rFonts w:ascii="Times New Roman" w:eastAsia="Times New Roman" w:hAnsi="Times New Roman"/>
          <w:bCs/>
          <w:i/>
          <w:iCs/>
          <w:sz w:val="28"/>
          <w:szCs w:val="28"/>
          <w:lang w:eastAsia="ru-RU"/>
        </w:rPr>
        <w:t xml:space="preserve"> in vivo</w:t>
      </w:r>
      <w:r w:rsidRPr="00871E30">
        <w:rPr>
          <w:rFonts w:ascii="Times New Roman" w:eastAsia="Times New Roman" w:hAnsi="Times New Roman"/>
          <w:bCs/>
          <w:sz w:val="28"/>
          <w:szCs w:val="28"/>
          <w:lang w:eastAsia="ru-RU"/>
        </w:rPr>
        <w:t xml:space="preserve"> долутегравир не влияет на плазменные концентрации тенофовира или пара-аминогиппурата, субстратов OAT1 и OAT3.</w:t>
      </w:r>
    </w:p>
    <w:p w14:paraId="41311CDF"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xml:space="preserve"> долутегравир не подавляет (IC</w:t>
      </w:r>
      <w:r w:rsidRPr="00871E30">
        <w:rPr>
          <w:rFonts w:ascii="Times New Roman" w:eastAsia="Times New Roman" w:hAnsi="Times New Roman"/>
          <w:bCs/>
          <w:sz w:val="28"/>
          <w:szCs w:val="28"/>
          <w:vertAlign w:val="subscript"/>
          <w:lang w:eastAsia="ru-RU"/>
        </w:rPr>
        <w:t>50</w:t>
      </w:r>
      <w:r w:rsidRPr="00871E30">
        <w:rPr>
          <w:rFonts w:ascii="Times New Roman" w:eastAsia="Times New Roman" w:hAnsi="Times New Roman"/>
          <w:bCs/>
          <w:sz w:val="28"/>
          <w:szCs w:val="28"/>
          <w:lang w:eastAsia="ru-RU"/>
        </w:rPr>
        <w:t xml:space="preserve"> более 50 мкм) следующие элементы: цитохром P450 (CYP)1A2, CYP2A6, CYP2B6, CYP2C8, CYP2C9, CYP2C19, CYP2D6, CYP3A, уридиндифосфат (УДФ)-глюкуронозилтрансферазу 1A1 (UGT1A1), UGT2B7, P-гликопротеин (P-gp), белок устойчивости к раку молочной железы (BCRP), насос для отвода желчной соли (BSEP), полипептид переноса органических анионов (OATP)1B1, OATP1B3, OCT1, белок множественной лекарственной устойчивости (MRP)2 или MRP4. </w:t>
      </w: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xml:space="preserve"> долутегравир не индуцировал CYP1A2, CYP2B6 или CYP3A4. На основании этих данных и результатов испытаний лекарственного взаимодействия вероятно, что долутегравир не окажет влияния на фармакокинетику лекарств, являющиеся субстратами данных ферментов или переносчиков.</w:t>
      </w:r>
    </w:p>
    <w:p w14:paraId="142D6EAE"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В исследованиях лекарственного взаимодействия долутегравир не оказывал клинически значимого влияния на фармакокинетику следующих препаратов: даклатасвир, тенофовир, метадон, мидазолам, рилпивирин и </w:t>
      </w:r>
      <w:r w:rsidRPr="00871E30">
        <w:rPr>
          <w:rFonts w:ascii="Times New Roman" w:eastAsia="Times New Roman" w:hAnsi="Times New Roman"/>
          <w:bCs/>
          <w:sz w:val="28"/>
          <w:szCs w:val="28"/>
          <w:lang w:eastAsia="ru-RU"/>
        </w:rPr>
        <w:lastRenderedPageBreak/>
        <w:t>пероральные контрацептивы, содержащие норгестимат и этинилэстрадиол. Используя перекрестное сравнение с историческими фармакокинетическими данными для каждого взаимодействующего лекарственного средства, было установлено, что долутегравир не влияет на фармакокинетику следующих препаратов: атазанавир, дарунавир, эфавиренц, этравирин, фосампренавир, лопинавир, ритонавир и боцепревир.</w:t>
      </w:r>
    </w:p>
    <w:p w14:paraId="2DFBD09E" w14:textId="77777777" w:rsidR="00871E30" w:rsidRPr="00871E30" w:rsidRDefault="00871E30" w:rsidP="00871E30">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Воздействие других агентов на фармакокинетику долутегравира, эмтрицитабина и тенофовир алафенамида</w:t>
      </w:r>
    </w:p>
    <w:p w14:paraId="307F1B36"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Долутегравир:</w:t>
      </w:r>
      <w:r w:rsidRPr="00871E30">
        <w:rPr>
          <w:rFonts w:ascii="Times New Roman" w:eastAsia="Times New Roman" w:hAnsi="Times New Roman"/>
          <w:bCs/>
          <w:sz w:val="28"/>
          <w:szCs w:val="28"/>
          <w:lang w:eastAsia="ru-RU"/>
        </w:rPr>
        <w:t xml:space="preserve"> долутегравир, являясь одним из компонентов препарата Долутегравир, эмтрицитабин и тенофовир алафенамид, метаболизируется UGT1A1 с некоторым участием CYP3A.</w:t>
      </w:r>
    </w:p>
    <w:p w14:paraId="1743A9FB"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Долутегравир также является субстратом для UGT1A3, UGT1A9, BCRP и P-gp </w:t>
      </w: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Лекарства, индуцирующие эти ферменты и переносчики, могут способствовать снижению концентрации долутегравира в плазме и снижать терапевтический эффект долутегравира.</w:t>
      </w:r>
    </w:p>
    <w:p w14:paraId="19DCC0FA"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Одновременный прием долутегравира и других препаратов, ингибирующих данные ферменты, может повысить концентрацию долутегравира в плазме.</w:t>
      </w:r>
    </w:p>
    <w:p w14:paraId="44E3F28A"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Этравирин значительно снижал концентрацию долутегравира в плазме крови, но эффект этравирина был смягчен одновременным приемом лопинавира/ритонавира или дарунавира/ритонавира и, как ожидается, будет смягчен приемом атазанавира/ритонавира (см табл. 3)</w:t>
      </w:r>
      <w:r>
        <w:rPr>
          <w:rFonts w:ascii="Times New Roman" w:eastAsia="Times New Roman" w:hAnsi="Times New Roman"/>
          <w:bCs/>
          <w:sz w:val="28"/>
          <w:szCs w:val="28"/>
          <w:lang w:eastAsia="ru-RU"/>
        </w:rPr>
        <w:t>.</w:t>
      </w:r>
    </w:p>
    <w:p w14:paraId="77DC690D"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xml:space="preserve"> долутегравир не являлся субстратом OATP1B1 или OATP1B3.</w:t>
      </w:r>
    </w:p>
    <w:p w14:paraId="5DB71E84"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Основываясь на результатах испытаний лекарственного взаимодействия, следующие препараты можно назначать в комбинации с долутегравиром без корректировки дозы: атазанавир/ритонавир, лопинавир/ритонавир, дарунавир/ритонавир, даклатасвир, боцепревир, элбасвир/гразопревир, метадон, содержащие оральные контрацептивы, мидазоламодесодержащие препараты и этинилэстрадиол, преднизон, рифабутин, рилпивирин и софосбувир/велпатасвир.</w:t>
      </w:r>
    </w:p>
    <w:p w14:paraId="551AA576"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Эмтрицитабин и тенофовир алафенамид:</w:t>
      </w:r>
      <w:r w:rsidRPr="00871E30">
        <w:rPr>
          <w:rFonts w:ascii="Times New Roman" w:eastAsia="Times New Roman" w:hAnsi="Times New Roman"/>
          <w:bCs/>
          <w:sz w:val="28"/>
          <w:szCs w:val="28"/>
          <w:lang w:eastAsia="ru-RU"/>
        </w:rPr>
        <w:t xml:space="preserve"> тенофовир алафенамид, являющийся одним из компонентов препарата Долутегравир, эмтрицитабин и тенофовир алафенамид, является субстратом P-gp, BCRP, OATP1B1 и OATP1B3.</w:t>
      </w:r>
    </w:p>
    <w:p w14:paraId="7A4A9534"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Лекарства, оказывающее значительное влияние на активность P-gp и BCRP, могут приводить к изменениям абсорбции тенофовир алафенамида (см. таблицу 3). Предполагается, что препараты, индуцирующие активность P-gp, уменьшат абсорбцию тенофовир алафенамида, что приведет к снижению концентрации тенофовир алафенамида в плазме, что может привести к потере терапевтического эффекта препарата </w:t>
      </w:r>
      <w:r w:rsidRPr="00871E30">
        <w:rPr>
          <w:rFonts w:ascii="Times New Roman" w:eastAsia="Times New Roman" w:hAnsi="Times New Roman"/>
          <w:sz w:val="28"/>
          <w:szCs w:val="28"/>
          <w:lang w:eastAsia="ru-RU"/>
        </w:rPr>
        <w:t>Долутегравир, эмтрицитабин и тенофовир алафенамид</w:t>
      </w:r>
      <w:r w:rsidRPr="00871E30">
        <w:rPr>
          <w:rFonts w:ascii="Times New Roman" w:eastAsia="Times New Roman" w:hAnsi="Times New Roman"/>
          <w:bCs/>
          <w:sz w:val="28"/>
          <w:szCs w:val="28"/>
          <w:lang w:eastAsia="ru-RU"/>
        </w:rPr>
        <w:t xml:space="preserve"> и развитию резистентности.</w:t>
      </w:r>
    </w:p>
    <w:p w14:paraId="1A4AD6F7"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Совместный прием препарата </w:t>
      </w:r>
      <w:r w:rsidRPr="00871E30">
        <w:rPr>
          <w:rFonts w:ascii="Times New Roman" w:eastAsia="Times New Roman" w:hAnsi="Times New Roman"/>
          <w:sz w:val="28"/>
          <w:szCs w:val="28"/>
          <w:lang w:eastAsia="ru-RU"/>
        </w:rPr>
        <w:t>Долутегравир, эмтрицитабин и тенофовир алафенамид</w:t>
      </w:r>
      <w:r w:rsidRPr="00871E30">
        <w:rPr>
          <w:rFonts w:ascii="Times New Roman" w:eastAsia="Times New Roman" w:hAnsi="Times New Roman"/>
          <w:bCs/>
          <w:sz w:val="28"/>
          <w:szCs w:val="28"/>
          <w:lang w:eastAsia="ru-RU"/>
        </w:rPr>
        <w:t xml:space="preserve"> с другими препаратами, ингибирующими P-gp и BCRP (белок </w:t>
      </w:r>
      <w:r w:rsidRPr="00871E30">
        <w:rPr>
          <w:rFonts w:ascii="Times New Roman" w:eastAsia="Times New Roman" w:hAnsi="Times New Roman"/>
          <w:bCs/>
          <w:sz w:val="28"/>
          <w:szCs w:val="28"/>
          <w:lang w:eastAsia="ru-RU"/>
        </w:rPr>
        <w:lastRenderedPageBreak/>
        <w:t>устойчивости к раку молочной железы), может увеличивать абсорбцию и концентрацию тенофовир алафенамида в плазме.</w:t>
      </w:r>
    </w:p>
    <w:p w14:paraId="44258AEF"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Тенофовир алафенамид не является ингибитором CYP1A2, CYP2B6, CYP2C8, CYP2C9, CYP2C19, CYP2D6 или UGT1A1. Тенофовир алафенамид является слабым ингибитором CYP3A </w:t>
      </w:r>
      <w:r w:rsidRPr="00871E30">
        <w:rPr>
          <w:rFonts w:ascii="Times New Roman" w:eastAsia="Times New Roman" w:hAnsi="Times New Roman"/>
          <w:bCs/>
          <w:i/>
          <w:iCs/>
          <w:sz w:val="28"/>
          <w:szCs w:val="28"/>
          <w:lang w:eastAsia="ru-RU"/>
        </w:rPr>
        <w:t>in vitro</w:t>
      </w:r>
      <w:r w:rsidRPr="00871E30">
        <w:rPr>
          <w:rFonts w:ascii="Times New Roman" w:eastAsia="Times New Roman" w:hAnsi="Times New Roman"/>
          <w:bCs/>
          <w:sz w:val="28"/>
          <w:szCs w:val="28"/>
          <w:lang w:eastAsia="ru-RU"/>
        </w:rPr>
        <w:t xml:space="preserve"> и не является ингибитором или индуктором CYP3A </w:t>
      </w:r>
      <w:r w:rsidRPr="00871E30">
        <w:rPr>
          <w:rFonts w:ascii="Times New Roman" w:eastAsia="Times New Roman" w:hAnsi="Times New Roman"/>
          <w:bCs/>
          <w:i/>
          <w:iCs/>
          <w:sz w:val="28"/>
          <w:szCs w:val="28"/>
          <w:lang w:eastAsia="ru-RU"/>
        </w:rPr>
        <w:t>in vivo</w:t>
      </w:r>
      <w:r w:rsidRPr="00871E30">
        <w:rPr>
          <w:rFonts w:ascii="Times New Roman" w:eastAsia="Times New Roman" w:hAnsi="Times New Roman"/>
          <w:bCs/>
          <w:sz w:val="28"/>
          <w:szCs w:val="28"/>
          <w:lang w:eastAsia="ru-RU"/>
        </w:rPr>
        <w:t>.</w:t>
      </w:r>
    </w:p>
    <w:p w14:paraId="6F4FDE6B"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На основании исследований лекарственного взаимодействия, проведенных с эмтрицитабином и тенофовир алафенамидом, клинически значимых лекарственных взаимодействий не наблюдалось или не ожидается, при сочетании эмтрицитабина и тенофовир алафенамида со следующими антиретровирусными препаратами: атазанавир с ритонавиром или кобицистатом, дарунавир или ритонавир, кобицистат, долутегравир, эфавиренц, ледипасвир, лопинавир/ритонавир, маравирок, невирапин, ралтегравир, рилпивирин и софосбувир. При сочетании эмтрицитабина и тенофовир алафенамида со следующими препаратами клинически значимых лекарственных взаимодействий не наблюдалось и не ожидается: бупренорфин, итраконазол, кетоконазол, лоразепам, метадон, мидазолам, налоксон, норбупренорфин, норгестимат/этинилэстрадиол и сертралин.</w:t>
      </w:r>
    </w:p>
    <w:p w14:paraId="6614A8C7" w14:textId="77777777" w:rsidR="00871E30" w:rsidRPr="00871E30" w:rsidRDefault="00871E30" w:rsidP="00871E30">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Установленные и другие потенциально значимые лекарственные взаимодействия</w:t>
      </w:r>
    </w:p>
    <w:p w14:paraId="419BC883"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Исследований лекарственного взаимодействия долутегравира и фиксированной дозы эмтрицитабина и тенофовир алефенамида или комбинации фиксированных доз всех трех компонентов не проводились.</w:t>
      </w:r>
    </w:p>
    <w:p w14:paraId="10682ADA"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Информация о потенциальных лекарственных взаимодействиях с долутегравиром, эмтрицитабином и тенофовир алафенамидом представлена ниже в таблице 3.</w:t>
      </w:r>
    </w:p>
    <w:p w14:paraId="074097D5"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Данные рекомендации основаны либо на испытаниях лекарственного взаимодействия, либо на прогнозируемых взаимодействиях из-за ожидаемой величины взаимодействия и возможности серьезных побочных эффектов или потери эффективности.</w:t>
      </w:r>
    </w:p>
    <w:p w14:paraId="540D876A" w14:textId="77777777" w:rsidR="004062DD" w:rsidRDefault="004062DD" w:rsidP="00871E30">
      <w:pPr>
        <w:spacing w:after="0" w:line="240" w:lineRule="auto"/>
        <w:jc w:val="both"/>
        <w:rPr>
          <w:rFonts w:ascii="Times New Roman" w:eastAsia="Times New Roman" w:hAnsi="Times New Roman"/>
          <w:bCs/>
          <w:sz w:val="28"/>
          <w:szCs w:val="28"/>
          <w:lang w:eastAsia="ru-RU"/>
        </w:rPr>
      </w:pPr>
    </w:p>
    <w:p w14:paraId="2610E0D3"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Таблица 3. Установленные и другие потенциально значимые лекарственные взаимодействия для долутегравира, эмтрицитабина и тенофовир алафенамида: изменения в дозе могут быть рекомендованы на основании испытаний лекарственного взаимодействия или прогнозируемых взаимодействий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2886"/>
        <w:gridCol w:w="3402"/>
      </w:tblGrid>
      <w:tr w:rsidR="00871E30" w:rsidRPr="00871E30" w14:paraId="1ADF247B" w14:textId="77777777" w:rsidTr="004E7FDD">
        <w:tc>
          <w:tcPr>
            <w:tcW w:w="2784" w:type="dxa"/>
            <w:shd w:val="clear" w:color="auto" w:fill="auto"/>
          </w:tcPr>
          <w:p w14:paraId="708DC708"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Класс сопутствующих препаратов:</w:t>
            </w:r>
          </w:p>
          <w:p w14:paraId="0A196995" w14:textId="77777777" w:rsidR="00871E30" w:rsidRPr="00871E30" w:rsidRDefault="00871E30" w:rsidP="004E7FDD">
            <w:pPr>
              <w:spacing w:after="0" w:line="240" w:lineRule="auto"/>
              <w:jc w:val="both"/>
              <w:rPr>
                <w:rFonts w:ascii="Times New Roman" w:eastAsia="Times New Roman" w:hAnsi="Times New Roman"/>
                <w:b/>
                <w:i/>
                <w:iCs/>
                <w:sz w:val="28"/>
                <w:szCs w:val="28"/>
                <w:lang w:eastAsia="ru-RU"/>
              </w:rPr>
            </w:pPr>
            <w:r w:rsidRPr="00871E30">
              <w:rPr>
                <w:rFonts w:ascii="Times New Roman" w:eastAsia="Times New Roman" w:hAnsi="Times New Roman"/>
                <w:bCs/>
                <w:i/>
                <w:iCs/>
                <w:sz w:val="28"/>
                <w:szCs w:val="28"/>
                <w:lang w:eastAsia="ru-RU"/>
              </w:rPr>
              <w:t>Название препарата</w:t>
            </w:r>
          </w:p>
        </w:tc>
        <w:tc>
          <w:tcPr>
            <w:tcW w:w="2886" w:type="dxa"/>
            <w:shd w:val="clear" w:color="auto" w:fill="auto"/>
          </w:tcPr>
          <w:p w14:paraId="0BF42D5C"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Влияние на концентрацию долутегравира, тенофовир алафенамида и/или сопутствующего препарата</w:t>
            </w:r>
          </w:p>
        </w:tc>
        <w:tc>
          <w:tcPr>
            <w:tcW w:w="3402" w:type="dxa"/>
            <w:shd w:val="clear" w:color="auto" w:fill="auto"/>
          </w:tcPr>
          <w:p w14:paraId="317CC6B0"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Клинические замечания</w:t>
            </w:r>
          </w:p>
        </w:tc>
      </w:tr>
      <w:tr w:rsidR="00871E30" w:rsidRPr="00871E30" w14:paraId="2C1ED63E" w14:textId="77777777" w:rsidTr="004E7FDD">
        <w:tc>
          <w:tcPr>
            <w:tcW w:w="2784" w:type="dxa"/>
            <w:shd w:val="clear" w:color="auto" w:fill="auto"/>
          </w:tcPr>
          <w:p w14:paraId="7D8754A7"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Антиаритмические:</w:t>
            </w:r>
          </w:p>
          <w:p w14:paraId="4BC77FEE"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Дофетилид</w:t>
            </w:r>
          </w:p>
        </w:tc>
        <w:tc>
          <w:tcPr>
            <w:tcW w:w="2886" w:type="dxa"/>
            <w:shd w:val="clear" w:color="auto" w:fill="auto"/>
          </w:tcPr>
          <w:p w14:paraId="3F83B1A4"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Дофетилид</w:t>
            </w:r>
          </w:p>
        </w:tc>
        <w:tc>
          <w:tcPr>
            <w:tcW w:w="3402" w:type="dxa"/>
            <w:shd w:val="clear" w:color="auto" w:fill="auto"/>
          </w:tcPr>
          <w:p w14:paraId="3A42B4CC"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Совместный прием с долутегравиром, </w:t>
            </w:r>
            <w:r w:rsidRPr="00871E30">
              <w:rPr>
                <w:rFonts w:ascii="Times New Roman" w:eastAsia="Times New Roman" w:hAnsi="Times New Roman"/>
                <w:bCs/>
                <w:sz w:val="28"/>
                <w:szCs w:val="28"/>
                <w:lang w:eastAsia="ru-RU"/>
              </w:rPr>
              <w:lastRenderedPageBreak/>
              <w:t>эмтрицитабином и тенофовир алафенамидом противопоказан.</w:t>
            </w:r>
          </w:p>
        </w:tc>
      </w:tr>
      <w:tr w:rsidR="00871E30" w:rsidRPr="00871E30" w14:paraId="004DB6A0" w14:textId="77777777" w:rsidTr="004E7FDD">
        <w:tc>
          <w:tcPr>
            <w:tcW w:w="2784" w:type="dxa"/>
            <w:shd w:val="clear" w:color="auto" w:fill="auto"/>
          </w:tcPr>
          <w:p w14:paraId="360DE416"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lastRenderedPageBreak/>
              <w:t>Антимикобактериальные препараты:</w:t>
            </w:r>
          </w:p>
          <w:p w14:paraId="4DF3F87B"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Рифабутин</w:t>
            </w:r>
          </w:p>
          <w:p w14:paraId="23907461"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Рифампицин</w:t>
            </w:r>
          </w:p>
          <w:p w14:paraId="77CD8414"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Рифапентин</w:t>
            </w:r>
          </w:p>
        </w:tc>
        <w:tc>
          <w:tcPr>
            <w:tcW w:w="2886" w:type="dxa"/>
            <w:shd w:val="clear" w:color="auto" w:fill="auto"/>
          </w:tcPr>
          <w:p w14:paraId="2250E11D"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Тенофовир алафенамид</w:t>
            </w:r>
          </w:p>
        </w:tc>
        <w:tc>
          <w:tcPr>
            <w:tcW w:w="3402" w:type="dxa"/>
            <w:shd w:val="clear" w:color="auto" w:fill="auto"/>
          </w:tcPr>
          <w:p w14:paraId="13D8D41A"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Не рекомендуется одновременный прием Долутегравира, эмтрицитабина и тенофовир алафенамида с рифабутином, рифампицином или рифапентином.</w:t>
            </w:r>
          </w:p>
        </w:tc>
      </w:tr>
      <w:tr w:rsidR="00871E30" w:rsidRPr="00871E30" w14:paraId="6EAE9B67" w14:textId="77777777" w:rsidTr="004E7FDD">
        <w:tc>
          <w:tcPr>
            <w:tcW w:w="2784" w:type="dxa"/>
            <w:shd w:val="clear" w:color="auto" w:fill="auto"/>
          </w:tcPr>
          <w:p w14:paraId="4063CF0C"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Ненуклеозидный ингибитор обратной транскриптазы:</w:t>
            </w:r>
          </w:p>
          <w:p w14:paraId="500ADEAB"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Этравирин</w:t>
            </w:r>
          </w:p>
        </w:tc>
        <w:tc>
          <w:tcPr>
            <w:tcW w:w="2886" w:type="dxa"/>
            <w:shd w:val="clear" w:color="auto" w:fill="auto"/>
          </w:tcPr>
          <w:p w14:paraId="4C0D3025"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tc>
        <w:tc>
          <w:tcPr>
            <w:tcW w:w="3402" w:type="dxa"/>
            <w:shd w:val="clear" w:color="auto" w:fill="auto"/>
          </w:tcPr>
          <w:p w14:paraId="30FCD61B"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Не рекомендуется принимать Долутегравир, эмтрицитабин и тенофовир алафенамид в сочетании с этравирином без одновременного приема атазанавира/ритонавира, дарунавира/ритонавира или лопинавира/ритонавира.</w:t>
            </w:r>
          </w:p>
        </w:tc>
      </w:tr>
      <w:tr w:rsidR="00871E30" w:rsidRPr="00871E30" w14:paraId="5A1A9DF9" w14:textId="77777777" w:rsidTr="004E7FDD">
        <w:tc>
          <w:tcPr>
            <w:tcW w:w="2784" w:type="dxa"/>
            <w:shd w:val="clear" w:color="auto" w:fill="auto"/>
          </w:tcPr>
          <w:p w14:paraId="3B8CB734"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Ненуклеозидный ингибитор обратной транскриптазы:</w:t>
            </w:r>
          </w:p>
          <w:p w14:paraId="205D183D"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Эфавиренц</w:t>
            </w:r>
          </w:p>
        </w:tc>
        <w:tc>
          <w:tcPr>
            <w:tcW w:w="2886" w:type="dxa"/>
            <w:shd w:val="clear" w:color="auto" w:fill="auto"/>
          </w:tcPr>
          <w:p w14:paraId="2E77A78A"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tc>
        <w:tc>
          <w:tcPr>
            <w:tcW w:w="3402" w:type="dxa"/>
            <w:shd w:val="clear" w:color="auto" w:fill="auto"/>
          </w:tcPr>
          <w:p w14:paraId="3F6328A2"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Необходимо скорректировать дозу долутегравира до 50 мг два раза в сутки. Следует принять дополнительную дозу долутегравира 50 мг с интервалом 12 часов самостоятельно от препарата Долутегравир, эмтрицитабин и тенофовир алафенамид.</w:t>
            </w:r>
          </w:p>
        </w:tc>
      </w:tr>
      <w:tr w:rsidR="00871E30" w:rsidRPr="00871E30" w14:paraId="041D9D1F" w14:textId="77777777" w:rsidTr="004E7FDD">
        <w:tc>
          <w:tcPr>
            <w:tcW w:w="2784" w:type="dxa"/>
            <w:shd w:val="clear" w:color="auto" w:fill="auto"/>
          </w:tcPr>
          <w:p w14:paraId="4A2B5277"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Ненуклеозидный ингибитор обратной транскриптазы:</w:t>
            </w:r>
          </w:p>
          <w:p w14:paraId="7B07867A"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Невирапин</w:t>
            </w:r>
          </w:p>
        </w:tc>
        <w:tc>
          <w:tcPr>
            <w:tcW w:w="2886" w:type="dxa"/>
            <w:shd w:val="clear" w:color="auto" w:fill="auto"/>
          </w:tcPr>
          <w:p w14:paraId="6ABF020F"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tc>
        <w:tc>
          <w:tcPr>
            <w:tcW w:w="3402" w:type="dxa"/>
            <w:shd w:val="clear" w:color="auto" w:fill="auto"/>
          </w:tcPr>
          <w:p w14:paraId="3CBEF08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Избегать одновременного приема с препаратом Долутегравир, эмтрицитабин и тенофовир алафенамид, поскольку данных по рекомендации по дозировке недостаточно.</w:t>
            </w:r>
          </w:p>
        </w:tc>
      </w:tr>
      <w:tr w:rsidR="00871E30" w:rsidRPr="00871E30" w14:paraId="41BD5A7E" w14:textId="77777777" w:rsidTr="004E7FDD">
        <w:tc>
          <w:tcPr>
            <w:tcW w:w="2784" w:type="dxa"/>
            <w:shd w:val="clear" w:color="auto" w:fill="auto"/>
          </w:tcPr>
          <w:p w14:paraId="7F216555"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Ингибитор протеазы:</w:t>
            </w:r>
          </w:p>
          <w:p w14:paraId="3F395B20"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Фосампренавир/ритонавир</w:t>
            </w:r>
          </w:p>
        </w:tc>
        <w:tc>
          <w:tcPr>
            <w:tcW w:w="2886" w:type="dxa"/>
            <w:shd w:val="clear" w:color="auto" w:fill="auto"/>
          </w:tcPr>
          <w:p w14:paraId="1669AE2C"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tc>
        <w:tc>
          <w:tcPr>
            <w:tcW w:w="3402" w:type="dxa"/>
            <w:shd w:val="clear" w:color="auto" w:fill="auto"/>
          </w:tcPr>
          <w:p w14:paraId="6F4B95C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Необходимо скорректировать дозу долутегравира до 50 мг два раза в сутки. Следует </w:t>
            </w:r>
            <w:r w:rsidRPr="00871E30">
              <w:rPr>
                <w:rFonts w:ascii="Times New Roman" w:eastAsia="Times New Roman" w:hAnsi="Times New Roman"/>
                <w:bCs/>
                <w:sz w:val="28"/>
                <w:szCs w:val="28"/>
                <w:lang w:eastAsia="ru-RU"/>
              </w:rPr>
              <w:lastRenderedPageBreak/>
              <w:t>принять дополнительную дозу долутегравира 50 мг с интервалом 12 часов самостоятельно от препарата Долутегравир, эмтрицитабин и тенофовир алафенамид.</w:t>
            </w:r>
          </w:p>
        </w:tc>
      </w:tr>
      <w:tr w:rsidR="00871E30" w:rsidRPr="00871E30" w14:paraId="39D8B9BA" w14:textId="77777777" w:rsidTr="004E7FDD">
        <w:tc>
          <w:tcPr>
            <w:tcW w:w="9072" w:type="dxa"/>
            <w:gridSpan w:val="3"/>
            <w:shd w:val="clear" w:color="auto" w:fill="auto"/>
          </w:tcPr>
          <w:p w14:paraId="184568F8" w14:textId="77777777" w:rsidR="00871E30" w:rsidRPr="00871E30" w:rsidRDefault="00871E30" w:rsidP="004E7FDD">
            <w:pPr>
              <w:spacing w:after="0" w:line="240" w:lineRule="auto"/>
              <w:jc w:val="center"/>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lastRenderedPageBreak/>
              <w:t>Другие комбинации</w:t>
            </w:r>
          </w:p>
        </w:tc>
      </w:tr>
      <w:tr w:rsidR="00871E30" w:rsidRPr="00871E30" w14:paraId="2713873B" w14:textId="77777777" w:rsidTr="004E7FDD">
        <w:tc>
          <w:tcPr>
            <w:tcW w:w="2784" w:type="dxa"/>
            <w:shd w:val="clear" w:color="auto" w:fill="auto"/>
          </w:tcPr>
          <w:p w14:paraId="4A59E0EC"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Карбамазепин</w:t>
            </w:r>
          </w:p>
        </w:tc>
        <w:tc>
          <w:tcPr>
            <w:tcW w:w="2886" w:type="dxa"/>
            <w:shd w:val="clear" w:color="auto" w:fill="auto"/>
          </w:tcPr>
          <w:p w14:paraId="75169B18"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tc>
        <w:tc>
          <w:tcPr>
            <w:tcW w:w="3402" w:type="dxa"/>
            <w:shd w:val="clear" w:color="auto" w:fill="auto"/>
          </w:tcPr>
          <w:p w14:paraId="7F48CDFE"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Следует принять дополнительную дозу долутегравира 50 мг с интервалом 12 часов самостоятельно от препарата Долутегравир, эмтрицитабин и тенофовир алафенамид; одновременный прием с препаратом Долутегравир, эмтрицитабин и тенофовир алафенамид не рекомендуется из-за наличия тенофовир алафенамида в составе.</w:t>
            </w:r>
          </w:p>
        </w:tc>
      </w:tr>
      <w:tr w:rsidR="00871E30" w:rsidRPr="00871E30" w14:paraId="771D7A99" w14:textId="77777777" w:rsidTr="004E7FDD">
        <w:tc>
          <w:tcPr>
            <w:tcW w:w="2784" w:type="dxa"/>
            <w:shd w:val="clear" w:color="auto" w:fill="auto"/>
          </w:tcPr>
          <w:p w14:paraId="3337A2F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Карбамазепин</w:t>
            </w:r>
          </w:p>
          <w:p w14:paraId="787306D0"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Окскарбазепин</w:t>
            </w:r>
          </w:p>
          <w:p w14:paraId="6FD93ECA"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Фенитоин</w:t>
            </w:r>
          </w:p>
          <w:p w14:paraId="7C4AB481"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Фенобарбитал</w:t>
            </w:r>
          </w:p>
        </w:tc>
        <w:tc>
          <w:tcPr>
            <w:tcW w:w="2886" w:type="dxa"/>
            <w:shd w:val="clear" w:color="auto" w:fill="auto"/>
          </w:tcPr>
          <w:p w14:paraId="58FBB312"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p w14:paraId="4B119D45"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Тенофовир алафенамид</w:t>
            </w:r>
          </w:p>
        </w:tc>
        <w:tc>
          <w:tcPr>
            <w:tcW w:w="3402" w:type="dxa"/>
            <w:shd w:val="clear" w:color="auto" w:fill="auto"/>
          </w:tcPr>
          <w:p w14:paraId="7DCB30D6"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Необходимо рассмотреть альтернативный вариант противосудорожных средств.</w:t>
            </w:r>
          </w:p>
        </w:tc>
      </w:tr>
      <w:tr w:rsidR="00871E30" w:rsidRPr="00871E30" w14:paraId="665E84C8" w14:textId="77777777" w:rsidTr="004E7FDD">
        <w:tc>
          <w:tcPr>
            <w:tcW w:w="2784" w:type="dxa"/>
            <w:shd w:val="clear" w:color="auto" w:fill="auto"/>
          </w:tcPr>
          <w:p w14:paraId="40F53F56"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Зверобой (Hypericum perforatum)</w:t>
            </w:r>
          </w:p>
        </w:tc>
        <w:tc>
          <w:tcPr>
            <w:tcW w:w="2886" w:type="dxa"/>
            <w:shd w:val="clear" w:color="auto" w:fill="auto"/>
          </w:tcPr>
          <w:p w14:paraId="1B8B948B"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p w14:paraId="54CE6B37"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Тенофовир алафенамид</w:t>
            </w:r>
          </w:p>
        </w:tc>
        <w:tc>
          <w:tcPr>
            <w:tcW w:w="3402" w:type="dxa"/>
            <w:shd w:val="clear" w:color="auto" w:fill="auto"/>
          </w:tcPr>
          <w:p w14:paraId="0DF40B34"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Не рекомендуется одновременный прием препарата </w:t>
            </w:r>
            <w:r w:rsidRPr="00871E30">
              <w:rPr>
                <w:rFonts w:ascii="Times New Roman" w:eastAsia="Times New Roman" w:hAnsi="Times New Roman"/>
                <w:sz w:val="28"/>
                <w:szCs w:val="28"/>
                <w:lang w:eastAsia="ru-RU"/>
              </w:rPr>
              <w:t>Долутегравир, эмтрицитабин и тенофовир алафенамид</w:t>
            </w:r>
            <w:r w:rsidRPr="00871E30">
              <w:rPr>
                <w:rFonts w:ascii="Times New Roman" w:eastAsia="Times New Roman" w:hAnsi="Times New Roman"/>
                <w:bCs/>
                <w:sz w:val="28"/>
                <w:szCs w:val="28"/>
                <w:lang w:eastAsia="ru-RU"/>
              </w:rPr>
              <w:t xml:space="preserve"> со зверобоем.</w:t>
            </w:r>
          </w:p>
        </w:tc>
      </w:tr>
      <w:tr w:rsidR="00871E30" w:rsidRPr="00871E30" w14:paraId="1A59CCA4" w14:textId="77777777" w:rsidTr="004E7FDD">
        <w:tc>
          <w:tcPr>
            <w:tcW w:w="2784" w:type="dxa"/>
            <w:shd w:val="clear" w:color="auto" w:fill="auto"/>
          </w:tcPr>
          <w:p w14:paraId="5318E404"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i/>
                <w:iCs/>
                <w:sz w:val="28"/>
                <w:szCs w:val="28"/>
                <w:lang w:eastAsia="ru-RU"/>
              </w:rPr>
              <w:t>Препараты, содержащие поливалентные катионы (например, магний или алюминий):</w:t>
            </w:r>
            <w:r w:rsidRPr="00871E30">
              <w:rPr>
                <w:rFonts w:ascii="Times New Roman" w:eastAsia="Times New Roman" w:hAnsi="Times New Roman"/>
                <w:bCs/>
                <w:sz w:val="28"/>
                <w:szCs w:val="28"/>
                <w:lang w:eastAsia="ru-RU"/>
              </w:rPr>
              <w:t xml:space="preserve"> антациды, содержащие катионы, или слабительные препараты, </w:t>
            </w:r>
            <w:r w:rsidRPr="00871E30">
              <w:rPr>
                <w:rFonts w:ascii="Times New Roman" w:eastAsia="Times New Roman" w:hAnsi="Times New Roman"/>
                <w:bCs/>
                <w:sz w:val="28"/>
                <w:szCs w:val="28"/>
                <w:lang w:eastAsia="ru-RU"/>
              </w:rPr>
              <w:lastRenderedPageBreak/>
              <w:t>содержащие сукральфатный буфер</w:t>
            </w:r>
          </w:p>
        </w:tc>
        <w:tc>
          <w:tcPr>
            <w:tcW w:w="2886" w:type="dxa"/>
            <w:shd w:val="clear" w:color="auto" w:fill="auto"/>
          </w:tcPr>
          <w:p w14:paraId="7CF054DA"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lastRenderedPageBreak/>
              <w:t>↓ Долутегравир</w:t>
            </w:r>
          </w:p>
          <w:p w14:paraId="2AF4228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p>
        </w:tc>
        <w:tc>
          <w:tcPr>
            <w:tcW w:w="3402" w:type="dxa"/>
            <w:shd w:val="clear" w:color="auto" w:fill="auto"/>
          </w:tcPr>
          <w:p w14:paraId="72DCC40B"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Препарат Долутегравир, эмтрицитабин и тенофовир алафенамид необходимо назначать за 2 часа до или через 6 часов после приема препаратов, содержащих поливалентные катионы.</w:t>
            </w:r>
          </w:p>
        </w:tc>
      </w:tr>
      <w:tr w:rsidR="00871E30" w:rsidRPr="00871E30" w14:paraId="60D94330" w14:textId="77777777" w:rsidTr="004E7FDD">
        <w:tc>
          <w:tcPr>
            <w:tcW w:w="2784" w:type="dxa"/>
            <w:shd w:val="clear" w:color="auto" w:fill="auto"/>
          </w:tcPr>
          <w:p w14:paraId="020C5FC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Кальцийсодержащие или железосодержащие добавки в пероральной форме, включая поливитамины, содержащие кальций или железо</w:t>
            </w:r>
          </w:p>
        </w:tc>
        <w:tc>
          <w:tcPr>
            <w:tcW w:w="2886" w:type="dxa"/>
            <w:shd w:val="clear" w:color="auto" w:fill="auto"/>
          </w:tcPr>
          <w:p w14:paraId="2FC26773"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Долутегравир</w:t>
            </w:r>
          </w:p>
          <w:p w14:paraId="500775AE"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p>
        </w:tc>
        <w:tc>
          <w:tcPr>
            <w:tcW w:w="3402" w:type="dxa"/>
            <w:shd w:val="clear" w:color="auto" w:fill="auto"/>
          </w:tcPr>
          <w:p w14:paraId="493A68F4"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Препарат Долутегравир, эмтрицитабин и тенофовир алафенамид необходимо назначать за 2 часа до или через 6 часов после приема добавок, содержащих кальций или железо. Помимо всего, Долутегравир, эмтрицитабин и тенофовир алафенамид и добавки, содержащие кальций или железо можно принимать вместе с пищей.</w:t>
            </w:r>
          </w:p>
        </w:tc>
      </w:tr>
      <w:tr w:rsidR="00871E30" w:rsidRPr="00871E30" w14:paraId="23304D04" w14:textId="77777777" w:rsidTr="004E7FDD">
        <w:tc>
          <w:tcPr>
            <w:tcW w:w="2784" w:type="dxa"/>
            <w:shd w:val="clear" w:color="auto" w:fill="auto"/>
          </w:tcPr>
          <w:p w14:paraId="09F36D85"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Метформин</w:t>
            </w:r>
          </w:p>
        </w:tc>
        <w:tc>
          <w:tcPr>
            <w:tcW w:w="2886" w:type="dxa"/>
            <w:shd w:val="clear" w:color="auto" w:fill="auto"/>
          </w:tcPr>
          <w:p w14:paraId="5ABD3C11"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Метформин</w:t>
            </w:r>
          </w:p>
        </w:tc>
        <w:tc>
          <w:tcPr>
            <w:tcW w:w="3402" w:type="dxa"/>
            <w:shd w:val="clear" w:color="auto" w:fill="auto"/>
          </w:tcPr>
          <w:p w14:paraId="28B62D39"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При одновременном применении необходимо ограничить общую суточную дозу метформина до 1000 мг в начале приема метформина или препарата Долутегравир, эмтрицитабин и тенофовир алафенамид. </w:t>
            </w:r>
          </w:p>
          <w:p w14:paraId="6FF19D66" w14:textId="77777777" w:rsidR="00871E30" w:rsidRPr="00871E30" w:rsidRDefault="00871E30" w:rsidP="004E7FDD">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При прекращении приема Долутегравир, эмтрицитабин и тенофовир алафенамид, может потребоваться корректировка дозы метформина. Рекомендуется проводить мониторинг уровня глюкозы в крови при одновременном применении и после отмены Долутегравира, эмтрицитабина и тенофовир алафенамида. </w:t>
            </w:r>
          </w:p>
        </w:tc>
      </w:tr>
    </w:tbl>
    <w:p w14:paraId="0F0748C8" w14:textId="77777777" w:rsidR="004062DD" w:rsidRDefault="004062DD" w:rsidP="00871E30">
      <w:pPr>
        <w:spacing w:after="0" w:line="240" w:lineRule="auto"/>
        <w:jc w:val="both"/>
        <w:rPr>
          <w:rFonts w:ascii="Times New Roman" w:eastAsia="Times New Roman" w:hAnsi="Times New Roman"/>
          <w:bCs/>
          <w:i/>
          <w:iCs/>
          <w:sz w:val="28"/>
          <w:szCs w:val="28"/>
          <w:lang w:eastAsia="ru-RU"/>
        </w:rPr>
      </w:pPr>
    </w:p>
    <w:p w14:paraId="257FC838" w14:textId="77777777" w:rsidR="00871E30" w:rsidRPr="00871E30" w:rsidRDefault="00871E30" w:rsidP="00871E30">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lastRenderedPageBreak/>
        <w:t>Препараты, влияющие на функцию почек</w:t>
      </w:r>
    </w:p>
    <w:p w14:paraId="3230E296" w14:textId="77777777" w:rsidR="00871E30" w:rsidRPr="00871E30" w:rsidRDefault="00871E30" w:rsidP="00871E30">
      <w:pPr>
        <w:spacing w:after="0" w:line="240" w:lineRule="auto"/>
        <w:jc w:val="both"/>
        <w:rPr>
          <w:rFonts w:ascii="Times New Roman" w:eastAsia="Times New Roman" w:hAnsi="Times New Roman"/>
          <w:bCs/>
          <w:sz w:val="28"/>
          <w:szCs w:val="28"/>
          <w:lang w:eastAsia="ru-RU"/>
        </w:rPr>
      </w:pPr>
      <w:r w:rsidRPr="00871E30">
        <w:rPr>
          <w:rFonts w:ascii="Times New Roman" w:eastAsia="Times New Roman" w:hAnsi="Times New Roman"/>
          <w:bCs/>
          <w:sz w:val="28"/>
          <w:szCs w:val="28"/>
          <w:lang w:eastAsia="ru-RU"/>
        </w:rPr>
        <w:t xml:space="preserve">Поскольку эмтрицитабин и тенофовир выводятся преимущественно почками за счет комбинации клубочковой фильтрации и активной канальцевой секреции, совместное применение препарата Долутегравир, эмтрицитабин и тенофовир алафенамид с препаратами, снижающими функцию почек или конкурирующими за активную канальцевую секрецию, может способствовать повышению концентрации эмтрицитабина, тенофовира и других препаратов, выводимых через почки, что может повлечь за собой повышение риска побочных реакций. Например, некоторые препараты, выводящиеся активной канальцевой секрецией, включают, но не ограничиваются ими. К ним относятся: ацикловир, цидофовир, ганцикловир, валацикловир, валганцикловир, аминогликозиды (например, гентамицин), а также большие дозы или множественные НПВП. </w:t>
      </w:r>
    </w:p>
    <w:bookmarkEnd w:id="5"/>
    <w:p w14:paraId="187170F5" w14:textId="77777777" w:rsidR="00D43297" w:rsidRDefault="00D43297" w:rsidP="00844CE8">
      <w:pPr>
        <w:spacing w:after="0" w:line="240" w:lineRule="auto"/>
        <w:jc w:val="both"/>
        <w:rPr>
          <w:rFonts w:ascii="Times New Roman" w:eastAsia="Times New Roman" w:hAnsi="Times New Roman"/>
          <w:b/>
          <w:i/>
          <w:sz w:val="28"/>
          <w:szCs w:val="28"/>
          <w:lang w:eastAsia="ru-RU"/>
        </w:rPr>
      </w:pPr>
      <w:r w:rsidRPr="004E7A03">
        <w:rPr>
          <w:rFonts w:ascii="Times New Roman" w:eastAsia="Times New Roman" w:hAnsi="Times New Roman"/>
          <w:b/>
          <w:i/>
          <w:sz w:val="28"/>
          <w:szCs w:val="28"/>
          <w:lang w:eastAsia="ru-RU"/>
        </w:rPr>
        <w:t>Специальные предупреждения</w:t>
      </w:r>
    </w:p>
    <w:p w14:paraId="53072006"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bookmarkStart w:id="6" w:name="_Hlk58225904"/>
      <w:r w:rsidRPr="00871E30">
        <w:rPr>
          <w:rFonts w:ascii="Times New Roman" w:eastAsia="Times New Roman" w:hAnsi="Times New Roman"/>
          <w:i/>
          <w:sz w:val="28"/>
          <w:szCs w:val="28"/>
          <w:lang w:eastAsia="ru-RU"/>
        </w:rPr>
        <w:t>Гепатотоксичность</w:t>
      </w:r>
    </w:p>
    <w:p w14:paraId="536468C9"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Сообщалось о нежелательных событиях со стороны печени у пациентов, принимавших долутегравирсодержащий режим приема. Пациенты с гепатитом B или C могут подвергаться риску ухудшения или повышения уровня трансаминаз при применении препарата Долутегравир, эмтрицитабин и тенофовир алафенамид. В некоторых случаях повышение уровня трансаминаз свидетельствовало о возникшем синдроме восстановления иммунитета или реактивации гепатита B, в особенности в условиях отмены противогепатитной терапии. У пациентов, получавших терапию, содержащую долутегравир, без предшествующего заболевания печени или других идентифицируемых факторов риска, наблюдались случаи гепатотоксичности, включая повышение биохимических показателей печени в сыворотке крови, гепатит и острую печеночную недостаточность. Сообщалось о случаях поражения печени вследствие приема препаратов с фиксированными дозами абакавира, долутегравира и ламивудина, которые приводили к трансплантации печени. Рекомендуется проводить мониторинг на предмет гепатотоксичности.</w:t>
      </w:r>
    </w:p>
    <w:p w14:paraId="4E14C25B"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Гиперчувствительность</w:t>
      </w:r>
    </w:p>
    <w:p w14:paraId="0D710703"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Сообщалось о реакциях гиперчувствительности, сопровождающаяся сыпью, конституциональными признаками и иногда дисфункцией органов, включая повреждение печени. Необходимо отменить прием </w:t>
      </w:r>
      <w:r w:rsidRPr="00871E30">
        <w:rPr>
          <w:rFonts w:ascii="Times New Roman" w:hAnsi="Times New Roman"/>
          <w:sz w:val="28"/>
          <w:szCs w:val="28"/>
        </w:rPr>
        <w:t xml:space="preserve">препарата </w:t>
      </w:r>
      <w:r w:rsidRPr="00871E30">
        <w:rPr>
          <w:rFonts w:ascii="Times New Roman" w:eastAsia="Times New Roman" w:hAnsi="Times New Roman"/>
          <w:sz w:val="28"/>
          <w:szCs w:val="28"/>
          <w:lang w:eastAsia="ru-RU"/>
        </w:rPr>
        <w:t>Долутегравир, эмтрицитабин и тенофовир алафенамид при появлении признаков или симптомов реакций гиперчувствительности (сильную сыпь или сыпь, сопровождающуюся лихорадкой, общим недомоганием, усталостью, мышечными или суставными болями, волдырями или шелушением кожи, волдырями или поражениями полости рта, конъюнктивитом, отеком лица, гепатитом, эозинофилией, ангионевротическим отеком, затрудненным дыханием,</w:t>
      </w:r>
      <w:r w:rsidRPr="00871E30">
        <w:rPr>
          <w:sz w:val="24"/>
          <w:szCs w:val="24"/>
        </w:rPr>
        <w:t xml:space="preserve"> </w:t>
      </w:r>
      <w:r w:rsidRPr="00871E30">
        <w:rPr>
          <w:rFonts w:ascii="Times New Roman" w:eastAsia="Times New Roman" w:hAnsi="Times New Roman"/>
          <w:sz w:val="28"/>
          <w:szCs w:val="28"/>
          <w:lang w:eastAsia="ru-RU"/>
        </w:rPr>
        <w:t xml:space="preserve">включая, но не ограничиваясь ими). Следует контролировать клиническое состояние пациентов, включая показатели печеночных аминотрансфераз и начать </w:t>
      </w:r>
      <w:r w:rsidRPr="00871E30">
        <w:rPr>
          <w:rFonts w:ascii="Times New Roman" w:eastAsia="Times New Roman" w:hAnsi="Times New Roman"/>
          <w:sz w:val="28"/>
          <w:szCs w:val="28"/>
          <w:lang w:eastAsia="ru-RU"/>
        </w:rPr>
        <w:lastRenderedPageBreak/>
        <w:t xml:space="preserve">соответствующую терапию. Задержка отмены </w:t>
      </w:r>
      <w:r w:rsidRPr="00871E30">
        <w:rPr>
          <w:rFonts w:ascii="Times New Roman" w:hAnsi="Times New Roman"/>
          <w:sz w:val="28"/>
          <w:szCs w:val="28"/>
        </w:rPr>
        <w:t xml:space="preserve">препарата </w:t>
      </w:r>
      <w:r w:rsidRPr="00871E30">
        <w:rPr>
          <w:rFonts w:ascii="Times New Roman" w:eastAsia="Times New Roman" w:hAnsi="Times New Roman"/>
          <w:sz w:val="28"/>
          <w:szCs w:val="28"/>
          <w:lang w:eastAsia="ru-RU"/>
        </w:rPr>
        <w:t xml:space="preserve">Долутегравир, эмтрицитабин и тенофовир алафенамид или других подозрительных агентов после возникновения реакции гиперчувствительности может носить жизнеугрожающий характер. Прием </w:t>
      </w:r>
      <w:r w:rsidRPr="00871E30">
        <w:rPr>
          <w:rFonts w:ascii="Times New Roman" w:hAnsi="Times New Roman"/>
          <w:sz w:val="28"/>
          <w:szCs w:val="28"/>
        </w:rPr>
        <w:t xml:space="preserve">препарата </w:t>
      </w:r>
      <w:r w:rsidRPr="00871E30">
        <w:rPr>
          <w:rFonts w:ascii="Times New Roman" w:eastAsia="Times New Roman" w:hAnsi="Times New Roman"/>
          <w:sz w:val="28"/>
          <w:szCs w:val="28"/>
          <w:lang w:eastAsia="ru-RU"/>
        </w:rPr>
        <w:t>Долутегравир, эмтрицитабин и тенофовир алафенамид противопоказан пациентам с предшествующей реакцией гиперчувствительности.</w:t>
      </w:r>
    </w:p>
    <w:p w14:paraId="4426AB6C"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Риск побочных реакций или потери вирусологического ответа из-за лекарственного взаимодействия</w:t>
      </w:r>
    </w:p>
    <w:p w14:paraId="1A8B23F4"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Одновременное применение препарата Долутегравир, эмтрицитабин и тенофовир алафенамид с другими препаратами может привести к известным или потенциально значимым лекарственным взаимодействиям, некоторые из которых могут повлечь за собой:</w:t>
      </w:r>
    </w:p>
    <w:p w14:paraId="66EF19AF"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утрату терапевтического эффекта препарата Долутегравир, эмтрицитабин и тенофовир алафенамид и возможное развитие резистентности</w:t>
      </w:r>
    </w:p>
    <w:p w14:paraId="7DB94ACD"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возможные клинически значимые побочные реакции от более сильного воздействия сопутствующих препаратов.</w:t>
      </w:r>
    </w:p>
    <w:p w14:paraId="4877A0D2"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В отношении сопутствующих препаратов, взаимодействие с которыми может быть сведено к минимуму, см. таблицу 3 о шагах по предотвращению или контролю этих возможных и известных значимых лекарственных взаимодействиях, включая рекомендации по дозированию. Следует рассмотреть возможность лекарственного взаимодействия до и во время терапии препаратом Долутегравир, эмтрицитабин и тенофовир алафенамид; пересмотреть прием сопутствующих препаратов во время терапии препаратом Долутегравир, эмтрицитабина и тенофовир алафенамид; и наблюдать за побочными реакциями, связанными с приемом сопутствующих препаратов.</w:t>
      </w:r>
    </w:p>
    <w:p w14:paraId="306165FE"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Обострение гепатита B в тяжелой форме у пациентов, инфицированных одновременно ВИЧ-1 и вирусом гепатита В</w:t>
      </w:r>
    </w:p>
    <w:p w14:paraId="2392829D"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Пациентов с ВИЧ-1 необходимо обследовать на наличие хронического вируса гепатита В (HBV) перед началом антиретровирусной терапии.</w:t>
      </w:r>
    </w:p>
    <w:p w14:paraId="46A9837F" w14:textId="77777777" w:rsidR="00871E30" w:rsidRPr="00871E30" w:rsidRDefault="00871E30" w:rsidP="00871E30">
      <w:pPr>
        <w:spacing w:after="0" w:line="240" w:lineRule="auto"/>
        <w:jc w:val="both"/>
        <w:rPr>
          <w:rFonts w:ascii="Times New Roman" w:eastAsia="Times New Roman" w:hAnsi="Times New Roman"/>
          <w:b/>
          <w:sz w:val="28"/>
          <w:szCs w:val="28"/>
          <w:lang w:eastAsia="ru-RU"/>
        </w:rPr>
      </w:pPr>
      <w:r w:rsidRPr="00871E30">
        <w:rPr>
          <w:rFonts w:ascii="Times New Roman" w:eastAsia="Times New Roman" w:hAnsi="Times New Roman"/>
          <w:sz w:val="28"/>
          <w:szCs w:val="28"/>
          <w:lang w:eastAsia="ru-RU"/>
        </w:rPr>
        <w:t>Случаи остро протекающих тяжелых обострений гепатита В (например, декомпенсация печени и печеночная недостаточность) были зарегистрированы у пациентов, коинфицированных ВИЧ-1 и вирусом гепатита В, а также у пациентов, прекративших прием препаратов, содержащих тенофовир дизопроксил фумарат. Данные реакции могут возникнуть при отмене терапии препаратом Долутегравир, эмтрицитабин и тенофовир алафенамид. У пациентов, коинфицированных ВИЧ-1 и HBV, прекратившие прием препарата Долутегравир, эмтрицитабин и тенофовир алафенамид, должен проводиться тщательный мониторинг как с клиническим, так и с лабораторным наблюдением в течении длительного времени после отмены терапии. При необходимости, может потребоваться начало терапии против вируса гепатита В, в особенности у пациентов с прогрессирующим заболеванием или циррозом печени, поскольку после терапии обострение гепатита может привести к печеночной декомпенсации и печеночной недостаточности.</w:t>
      </w:r>
      <w:r w:rsidRPr="00871E30">
        <w:rPr>
          <w:rFonts w:ascii="Times New Roman" w:eastAsia="Times New Roman" w:hAnsi="Times New Roman"/>
          <w:b/>
          <w:sz w:val="28"/>
          <w:szCs w:val="28"/>
          <w:lang w:eastAsia="ru-RU"/>
        </w:rPr>
        <w:t xml:space="preserve"> </w:t>
      </w:r>
    </w:p>
    <w:p w14:paraId="70267D65"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lastRenderedPageBreak/>
        <w:t>Синдром Восстановления Иммунитета</w:t>
      </w:r>
    </w:p>
    <w:p w14:paraId="0FA578DD"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Сообщалось о синдроме восстановления иммунитета у пациентов, получавших комбинированную антиретровирусную терапию, включавшую долутегравир и эмтрицитабин, два компонента долутегравира, эмтрицитабин и тенофовир алафенамид. На начальном этапе комбинированного антиретровирусного лечения у пациентов с ответной иммунной реакцией на терапию может развиться воспалительный ответ на вялые или остаточные оппортунистические инфекции (как например инфекция </w:t>
      </w:r>
      <w:r w:rsidRPr="00871E30">
        <w:rPr>
          <w:rFonts w:ascii="Times New Roman" w:eastAsia="Times New Roman" w:hAnsi="Times New Roman"/>
          <w:i/>
          <w:sz w:val="28"/>
          <w:szCs w:val="28"/>
          <w:lang w:eastAsia="ru-RU"/>
        </w:rPr>
        <w:t>Mycobacterium avium</w:t>
      </w:r>
      <w:r w:rsidRPr="00871E30">
        <w:rPr>
          <w:rFonts w:ascii="Times New Roman" w:eastAsia="Times New Roman" w:hAnsi="Times New Roman"/>
          <w:sz w:val="28"/>
          <w:szCs w:val="28"/>
          <w:lang w:eastAsia="ru-RU"/>
        </w:rPr>
        <w:t xml:space="preserve">, цитомегаловирус, пневмония, вызванная </w:t>
      </w:r>
      <w:r w:rsidRPr="00871E30">
        <w:rPr>
          <w:rFonts w:ascii="Times New Roman" w:eastAsia="Times New Roman" w:hAnsi="Times New Roman"/>
          <w:i/>
          <w:sz w:val="28"/>
          <w:szCs w:val="28"/>
          <w:lang w:eastAsia="ru-RU"/>
        </w:rPr>
        <w:t>Pneumocystis jirovecii</w:t>
      </w:r>
      <w:r w:rsidRPr="00871E30">
        <w:rPr>
          <w:rFonts w:ascii="Times New Roman" w:eastAsia="Times New Roman" w:hAnsi="Times New Roman"/>
          <w:sz w:val="28"/>
          <w:szCs w:val="28"/>
          <w:lang w:eastAsia="ru-RU"/>
        </w:rPr>
        <w:t xml:space="preserve"> [PCP] или туберкулез), что может потребовать дальнейшего обследования и лечения. Аутоиммунные заболевания (такие как болезнь Грейвса, полимиозит и синдром Гийена-Барре),</w:t>
      </w:r>
      <w:r w:rsidRPr="00871E30">
        <w:rPr>
          <w:sz w:val="28"/>
          <w:szCs w:val="28"/>
        </w:rPr>
        <w:t xml:space="preserve"> </w:t>
      </w:r>
      <w:r w:rsidRPr="00871E30">
        <w:rPr>
          <w:rFonts w:ascii="Times New Roman" w:eastAsia="Times New Roman" w:hAnsi="Times New Roman"/>
          <w:sz w:val="28"/>
          <w:szCs w:val="28"/>
          <w:lang w:eastAsia="ru-RU"/>
        </w:rPr>
        <w:t xml:space="preserve">как сообщается, также возникают в условиях восстановления иммунитета; однако время до начала заболевания более изменчиво и может наступить через длительное время после начала лечения. </w:t>
      </w:r>
    </w:p>
    <w:p w14:paraId="5A1A82C9"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Новое начало или ухудшение почечной недостаточности</w:t>
      </w:r>
    </w:p>
    <w:p w14:paraId="46184451"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О нарушении функции почек, включая случаи острой почечной недостаточности и синдрома Фанкони (повреждение почечных канальцев с тяжелой гипофосфатемией), сообщалось при использовании пролекарств тенофовира как в токсикологических исследованиях на животных, так и в исследованиях у людей-добровольцев. Прием препарата Долутегравир, эмтрицитабин и тенофовир алафенамид не рекомендуются пациентам с расчетным клиренсом креатинина ниже 30 мл/мин, поскольку данных в этой популяции недостаточно.</w:t>
      </w:r>
    </w:p>
    <w:p w14:paraId="2C01B576"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Пациенты, принимающие пролекарства тенофовира с нарушением функции почек, и пациенты, принимающие нефротоксичные средства, включая нестероидные противовоспалительные препараты, подвергаются повышенному риску развития побочных реакций со стороны почек.</w:t>
      </w:r>
    </w:p>
    <w:p w14:paraId="589B4822"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Перед началом и во время терапии препаратом Долутегравир, эмтрицитабин и тенофовир алафенамид, у всех пациентов следует провести оценку клиренса креатинина, уровня глюкозы и белка в моче. У пациентов с хроническим заболеванием почек при приеме пролекарств тенофовира следует контролировать уровень фосфора в сыворотке крови, поскольку они в большей степени подвергаются повышенному риску развития синдрома Фанкони. Следует отменить прием препарата Долутегравир, эмтрицитабин и тенофовир алафенамид у пациентов, у которых наблюдается клинически значимое снижение функции почек или признаки синдрома Фанкони.</w:t>
      </w:r>
    </w:p>
    <w:p w14:paraId="582B1924"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Лактоацидоз и тяжелая гепатомегалия со стеатозом</w:t>
      </w:r>
    </w:p>
    <w:p w14:paraId="08705D49"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Сообщалось о случаях лактоацидоза и тяжелой гепатомегалии со стеатозом, включая летальные исходы, при применении аналогов нуклеозидов, включая эмтрицитабин, комбинацию долутегравира, эмтрицитабина и тенофовир алафенамида в таблетках, тенофовир дизопроксил фумарата, других пролекарств тенофовира, отдельно или в комбинации с другими антиретровирусными препаратами. Терапию </w:t>
      </w:r>
      <w:r w:rsidRPr="00871E30">
        <w:rPr>
          <w:rFonts w:ascii="Times New Roman" w:eastAsia="Times New Roman" w:hAnsi="Times New Roman"/>
          <w:sz w:val="28"/>
          <w:szCs w:val="28"/>
          <w:lang w:eastAsia="ru-RU"/>
        </w:rPr>
        <w:lastRenderedPageBreak/>
        <w:t>препаратом Долутегравир, эмтрицитабин и тенофовир алафенамид следует приостановить у любого пациента с развивающейся клинической или лабораторной картиной лактоацидоза или выраженной гепатотоксичностью (включающие гепатомегалию и стеатоз даже в случае отсутствия заметного повышения уровня трансаминаз).</w:t>
      </w:r>
    </w:p>
    <w:p w14:paraId="59B77FE0" w14:textId="77777777" w:rsidR="00871E30" w:rsidRPr="00871E30" w:rsidRDefault="00871E30" w:rsidP="00871E30">
      <w:pPr>
        <w:spacing w:after="0" w:line="240" w:lineRule="auto"/>
        <w:jc w:val="both"/>
        <w:rPr>
          <w:rFonts w:ascii="Times New Roman" w:eastAsia="Times New Roman" w:hAnsi="Times New Roman"/>
          <w:i/>
          <w:iCs/>
          <w:sz w:val="28"/>
          <w:szCs w:val="28"/>
          <w:lang w:eastAsia="ru-RU"/>
        </w:rPr>
      </w:pPr>
      <w:bookmarkStart w:id="7" w:name="_Hlk58225948"/>
      <w:r w:rsidRPr="00871E30">
        <w:rPr>
          <w:rFonts w:ascii="Times New Roman" w:eastAsia="Times New Roman" w:hAnsi="Times New Roman"/>
          <w:i/>
          <w:iCs/>
          <w:sz w:val="28"/>
          <w:szCs w:val="28"/>
          <w:lang w:eastAsia="ru-RU"/>
        </w:rPr>
        <w:t>Педиатрическая популяция</w:t>
      </w:r>
    </w:p>
    <w:p w14:paraId="6FB1A3B7"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Препарат Долутегравир, эмтрицитабин и тенофовир алафенамид следует назначать детям с массой тела не менее 40 кг, поскольку препарат представляет собой комбинацию фиксированных доз, компоненты которых невозможно скорректировать. Безопасность и эффективность были установлены для отдельных компонентов в данной весовой группе.</w:t>
      </w:r>
    </w:p>
    <w:p w14:paraId="0CE2A08A" w14:textId="77777777" w:rsidR="00871E30" w:rsidRPr="00871E30" w:rsidRDefault="00871E30" w:rsidP="00871E30">
      <w:pPr>
        <w:spacing w:after="0" w:line="240" w:lineRule="auto"/>
        <w:jc w:val="both"/>
        <w:rPr>
          <w:rFonts w:ascii="Times New Roman" w:eastAsia="Times New Roman" w:hAnsi="Times New Roman"/>
          <w:i/>
          <w:iCs/>
          <w:sz w:val="28"/>
          <w:szCs w:val="28"/>
          <w:lang w:eastAsia="ru-RU"/>
        </w:rPr>
      </w:pPr>
      <w:r w:rsidRPr="00871E30">
        <w:rPr>
          <w:rFonts w:ascii="Times New Roman" w:eastAsia="Times New Roman" w:hAnsi="Times New Roman"/>
          <w:i/>
          <w:iCs/>
          <w:sz w:val="28"/>
          <w:szCs w:val="28"/>
          <w:lang w:eastAsia="ru-RU"/>
        </w:rPr>
        <w:t>Пациенты пожилого возраста</w:t>
      </w:r>
    </w:p>
    <w:p w14:paraId="6D3587C0"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i/>
          <w:iCs/>
          <w:sz w:val="28"/>
          <w:szCs w:val="28"/>
          <w:lang w:eastAsia="ru-RU"/>
        </w:rPr>
        <w:t>Долутегравир:</w:t>
      </w:r>
      <w:r w:rsidRPr="00871E30">
        <w:rPr>
          <w:rFonts w:ascii="Times New Roman" w:eastAsia="Times New Roman" w:hAnsi="Times New Roman"/>
          <w:sz w:val="28"/>
          <w:szCs w:val="28"/>
          <w:lang w:eastAsia="ru-RU"/>
        </w:rPr>
        <w:t xml:space="preserve"> исследования долутегравира не включали достаточное количество субъектов в возрасте от 65 лет и старше для сравнения с субъектами молодого возраста. Следует соблюдать осторожность при назначении долутегравира пациентам пожилого возраста, что часто сопровождается снижением функции печени, почек или сердца, а также усилением сопутствующих заболеваний или другой лекарственной терапии.</w:t>
      </w:r>
    </w:p>
    <w:bookmarkEnd w:id="7"/>
    <w:p w14:paraId="39A5C4BD"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i/>
          <w:iCs/>
          <w:sz w:val="28"/>
          <w:szCs w:val="28"/>
          <w:lang w:eastAsia="ru-RU"/>
        </w:rPr>
        <w:t>Эмтрицитабин и Тенофовир алафенамид</w:t>
      </w:r>
      <w:r w:rsidR="00E72073">
        <w:rPr>
          <w:rFonts w:ascii="Times New Roman" w:eastAsia="Times New Roman" w:hAnsi="Times New Roman"/>
          <w:i/>
          <w:iCs/>
          <w:sz w:val="28"/>
          <w:szCs w:val="28"/>
          <w:lang w:eastAsia="ru-RU"/>
        </w:rPr>
        <w:t xml:space="preserve">: </w:t>
      </w:r>
      <w:r w:rsidR="00E72073">
        <w:rPr>
          <w:rFonts w:ascii="Times New Roman" w:eastAsia="Times New Roman" w:hAnsi="Times New Roman"/>
          <w:sz w:val="28"/>
          <w:szCs w:val="28"/>
          <w:lang w:eastAsia="ru-RU"/>
        </w:rPr>
        <w:t>н</w:t>
      </w:r>
      <w:r w:rsidRPr="00871E30">
        <w:rPr>
          <w:rFonts w:ascii="Times New Roman" w:eastAsia="Times New Roman" w:hAnsi="Times New Roman"/>
          <w:sz w:val="28"/>
          <w:szCs w:val="28"/>
          <w:lang w:eastAsia="ru-RU"/>
        </w:rPr>
        <w:t>икаких различий в безопасности или эффективности между пациентами пожилого возраста и взрослыми в возрасте от 18 до 65 лет не наблюдалось.</w:t>
      </w:r>
    </w:p>
    <w:p w14:paraId="27796765" w14:textId="77777777" w:rsidR="00871E30" w:rsidRPr="00871E30" w:rsidRDefault="00871E30" w:rsidP="00871E30">
      <w:pPr>
        <w:spacing w:after="0" w:line="240" w:lineRule="auto"/>
        <w:jc w:val="both"/>
        <w:rPr>
          <w:rFonts w:ascii="Times New Roman" w:eastAsia="Times New Roman" w:hAnsi="Times New Roman"/>
          <w:i/>
          <w:iCs/>
          <w:sz w:val="28"/>
          <w:szCs w:val="28"/>
          <w:lang w:eastAsia="ru-RU"/>
        </w:rPr>
      </w:pPr>
      <w:r w:rsidRPr="00871E30">
        <w:rPr>
          <w:rFonts w:ascii="Times New Roman" w:eastAsia="Times New Roman" w:hAnsi="Times New Roman"/>
          <w:i/>
          <w:iCs/>
          <w:sz w:val="28"/>
          <w:szCs w:val="28"/>
          <w:lang w:eastAsia="ru-RU"/>
        </w:rPr>
        <w:t>Пациенты с печеночной недостаточностью</w:t>
      </w:r>
    </w:p>
    <w:p w14:paraId="77805445"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Не рекомендуется корректировать дозу препарата Долутегравир, эмтрицитабин и тенофовир алафенамид у пациентов с легкой (класс А по шкале Чайлд-Пью) или умеренной (класс В по шкале Чайлд-Пью) печеночной недостаточностью. Влияние тяжелой печеночной недостаточности (класс С по Чайлд-Пью) на фармакокинетику </w:t>
      </w:r>
      <w:r w:rsidR="00E4242E" w:rsidRPr="00871E30">
        <w:rPr>
          <w:rFonts w:ascii="Times New Roman" w:eastAsia="Times New Roman" w:hAnsi="Times New Roman"/>
          <w:sz w:val="28"/>
          <w:szCs w:val="28"/>
          <w:lang w:eastAsia="ru-RU"/>
        </w:rPr>
        <w:t>препарата Долутегравир</w:t>
      </w:r>
      <w:r w:rsidRPr="00871E30">
        <w:rPr>
          <w:rFonts w:ascii="Times New Roman" w:eastAsia="Times New Roman" w:hAnsi="Times New Roman"/>
          <w:sz w:val="28"/>
          <w:szCs w:val="28"/>
          <w:lang w:eastAsia="ru-RU"/>
        </w:rPr>
        <w:t>, эмтрицитабин и тенофовир алафенамид не изучалось. Следовательно, препарат Долутегравир, эмтрицитабин и тенофовир алафенамид не рекомендуется к применению пациентами с тяжелой печеночной недостаточностью.</w:t>
      </w:r>
    </w:p>
    <w:p w14:paraId="112DDF51" w14:textId="77777777" w:rsidR="00871E30" w:rsidRPr="00871E30" w:rsidRDefault="00871E30" w:rsidP="00871E30">
      <w:pPr>
        <w:spacing w:after="0" w:line="240" w:lineRule="auto"/>
        <w:jc w:val="both"/>
        <w:rPr>
          <w:rFonts w:ascii="Times New Roman" w:eastAsia="Times New Roman" w:hAnsi="Times New Roman"/>
          <w:i/>
          <w:iCs/>
          <w:sz w:val="28"/>
          <w:szCs w:val="28"/>
          <w:lang w:eastAsia="ru-RU"/>
        </w:rPr>
      </w:pPr>
      <w:r w:rsidRPr="00871E30">
        <w:rPr>
          <w:rFonts w:ascii="Times New Roman" w:eastAsia="Times New Roman" w:hAnsi="Times New Roman"/>
          <w:i/>
          <w:iCs/>
          <w:sz w:val="28"/>
          <w:szCs w:val="28"/>
          <w:lang w:eastAsia="ru-RU"/>
        </w:rPr>
        <w:t>Пациенты с почечной недостаточностью</w:t>
      </w:r>
    </w:p>
    <w:p w14:paraId="27DCF0D5" w14:textId="77777777" w:rsidR="00871E30" w:rsidRDefault="00871E30" w:rsidP="00844CE8">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Препарат Долутегравир, эмтрицитабин и тенофовир алафенамид не рекомендуется к применению пациентам с тяжелой почечной недостаточностью (с р</w:t>
      </w:r>
      <w:r w:rsidR="004062DD">
        <w:rPr>
          <w:rFonts w:ascii="Times New Roman" w:eastAsia="Times New Roman" w:hAnsi="Times New Roman"/>
          <w:sz w:val="28"/>
          <w:szCs w:val="28"/>
          <w:lang w:eastAsia="ru-RU"/>
        </w:rPr>
        <w:t>асчетным клиренсом креатинина &lt;</w:t>
      </w:r>
      <w:r w:rsidRPr="00871E30">
        <w:rPr>
          <w:rFonts w:ascii="Times New Roman" w:eastAsia="Times New Roman" w:hAnsi="Times New Roman"/>
          <w:sz w:val="28"/>
          <w:szCs w:val="28"/>
          <w:lang w:eastAsia="ru-RU"/>
        </w:rPr>
        <w:t xml:space="preserve">30 мл/мин), поскольку препарат представляет собой комбинацию фиксированных доз и коррекция каждого компонента не является возможным. Не рекомендуется корректировать дозу препарата у пациентов с легкой или умеренной почечной недостаточностью (с расчетным клиренсом креатинина </w:t>
      </w:r>
      <w:r w:rsidR="004062DD">
        <w:rPr>
          <w:rFonts w:ascii="Times New Roman" w:eastAsia="Times New Roman" w:hAnsi="Times New Roman"/>
          <w:sz w:val="28"/>
          <w:szCs w:val="28"/>
          <w:lang w:eastAsia="ru-RU"/>
        </w:rPr>
        <w:t>≥</w:t>
      </w:r>
      <w:r w:rsidRPr="00871E30">
        <w:rPr>
          <w:rFonts w:ascii="Times New Roman" w:eastAsia="Times New Roman" w:hAnsi="Times New Roman"/>
          <w:sz w:val="28"/>
          <w:szCs w:val="28"/>
          <w:lang w:eastAsia="ru-RU"/>
        </w:rPr>
        <w:t>30 мл/мин).</w:t>
      </w:r>
      <w:bookmarkEnd w:id="6"/>
    </w:p>
    <w:p w14:paraId="620FDD04" w14:textId="77777777" w:rsidR="00871E30" w:rsidRPr="00871E30" w:rsidRDefault="00871E30" w:rsidP="00844CE8">
      <w:pPr>
        <w:spacing w:after="0" w:line="240" w:lineRule="auto"/>
        <w:jc w:val="both"/>
        <w:rPr>
          <w:rFonts w:ascii="Times New Roman" w:eastAsia="Times New Roman" w:hAnsi="Times New Roman"/>
          <w:i/>
          <w:iCs/>
          <w:sz w:val="28"/>
          <w:szCs w:val="28"/>
          <w:lang w:eastAsia="ru-RU"/>
        </w:rPr>
      </w:pPr>
      <w:r w:rsidRPr="00871E30">
        <w:rPr>
          <w:rFonts w:ascii="Times New Roman" w:eastAsia="Times New Roman" w:hAnsi="Times New Roman"/>
          <w:i/>
          <w:iCs/>
          <w:sz w:val="28"/>
          <w:szCs w:val="28"/>
          <w:lang w:eastAsia="ru-RU"/>
        </w:rPr>
        <w:t>Во время беременности или лактации</w:t>
      </w:r>
    </w:p>
    <w:p w14:paraId="159EC0CA" w14:textId="77777777" w:rsidR="00871E30" w:rsidRPr="00871E30" w:rsidRDefault="003E69C9" w:rsidP="003E69C9">
      <w:pPr>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Н</w:t>
      </w:r>
      <w:r w:rsidR="00871E30" w:rsidRPr="00871E30">
        <w:rPr>
          <w:rFonts w:ascii="Times New Roman" w:hAnsi="Times New Roman"/>
          <w:iCs/>
          <w:color w:val="000000"/>
          <w:sz w:val="28"/>
          <w:szCs w:val="28"/>
        </w:rPr>
        <w:t xml:space="preserve">едостаточно данных о применении комбинации долутегравира, эмтрицитабина и тенофовир алафенамида в период беременности для установления связи приема препарата с врожденными дефектами и </w:t>
      </w:r>
      <w:r w:rsidR="00871E30" w:rsidRPr="00871E30">
        <w:rPr>
          <w:rFonts w:ascii="Times New Roman" w:hAnsi="Times New Roman"/>
          <w:iCs/>
          <w:color w:val="000000"/>
          <w:sz w:val="28"/>
          <w:szCs w:val="28"/>
        </w:rPr>
        <w:lastRenderedPageBreak/>
        <w:t>выкидышем. Применение тенофовир алафенамида у беременных женщин не оценивалось</w:t>
      </w:r>
      <w:r>
        <w:rPr>
          <w:rFonts w:ascii="Times New Roman" w:hAnsi="Times New Roman"/>
          <w:i/>
          <w:color w:val="000000"/>
          <w:sz w:val="28"/>
          <w:szCs w:val="28"/>
        </w:rPr>
        <w:t xml:space="preserve">. </w:t>
      </w:r>
      <w:r>
        <w:rPr>
          <w:rFonts w:ascii="Times New Roman" w:hAnsi="Times New Roman"/>
          <w:iCs/>
          <w:color w:val="000000"/>
          <w:sz w:val="28"/>
          <w:szCs w:val="28"/>
        </w:rPr>
        <w:t xml:space="preserve">В </w:t>
      </w:r>
      <w:r w:rsidR="00871E30" w:rsidRPr="00871E30">
        <w:rPr>
          <w:rFonts w:ascii="Times New Roman" w:hAnsi="Times New Roman"/>
          <w:iCs/>
          <w:color w:val="000000"/>
          <w:sz w:val="28"/>
          <w:szCs w:val="28"/>
        </w:rPr>
        <w:t xml:space="preserve">исследованиях не наблюдалось никаких доказательств неблагоприятных исходов развития, связанных с приемом долутегравира. </w:t>
      </w:r>
    </w:p>
    <w:p w14:paraId="0656D32A" w14:textId="77777777" w:rsidR="00871E30" w:rsidRPr="00871E30" w:rsidRDefault="003E69C9" w:rsidP="00871E30">
      <w:pPr>
        <w:spacing w:after="0" w:line="240" w:lineRule="auto"/>
        <w:jc w:val="both"/>
        <w:rPr>
          <w:rFonts w:ascii="Times New Roman" w:hAnsi="Times New Roman"/>
          <w:iCs/>
          <w:color w:val="000000"/>
          <w:sz w:val="28"/>
          <w:szCs w:val="28"/>
        </w:rPr>
      </w:pPr>
      <w:r w:rsidRPr="003E69C9">
        <w:rPr>
          <w:rFonts w:ascii="Times New Roman" w:hAnsi="Times New Roman"/>
          <w:iCs/>
          <w:color w:val="000000"/>
          <w:sz w:val="28"/>
          <w:szCs w:val="28"/>
        </w:rPr>
        <w:t>В</w:t>
      </w:r>
      <w:r>
        <w:rPr>
          <w:rFonts w:ascii="Times New Roman" w:hAnsi="Times New Roman"/>
          <w:iCs/>
          <w:color w:val="000000"/>
          <w:sz w:val="28"/>
          <w:szCs w:val="28"/>
        </w:rPr>
        <w:t xml:space="preserve"> </w:t>
      </w:r>
      <w:r w:rsidR="00E72073">
        <w:rPr>
          <w:rFonts w:ascii="Times New Roman" w:hAnsi="Times New Roman"/>
          <w:iCs/>
          <w:color w:val="000000"/>
          <w:sz w:val="28"/>
          <w:szCs w:val="28"/>
        </w:rPr>
        <w:t>доклинических</w:t>
      </w:r>
      <w:r w:rsidR="00871E30" w:rsidRPr="00871E30">
        <w:rPr>
          <w:rFonts w:ascii="Times New Roman" w:hAnsi="Times New Roman"/>
          <w:iCs/>
          <w:color w:val="000000"/>
          <w:sz w:val="28"/>
          <w:szCs w:val="28"/>
        </w:rPr>
        <w:t xml:space="preserve"> исследованиях не наблюдалось неблагоприятных событий при раздельном приеме эмтрицитабина и тенофовир алафенамида</w:t>
      </w:r>
      <w:r w:rsidR="00E72073">
        <w:rPr>
          <w:rFonts w:ascii="Times New Roman" w:hAnsi="Times New Roman"/>
          <w:iCs/>
          <w:color w:val="000000"/>
          <w:sz w:val="28"/>
          <w:szCs w:val="28"/>
        </w:rPr>
        <w:t>.</w:t>
      </w:r>
    </w:p>
    <w:p w14:paraId="4BEF9433" w14:textId="77777777" w:rsidR="00871E30" w:rsidRPr="00871E30" w:rsidRDefault="003E69C9" w:rsidP="00871E30">
      <w:pPr>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Н</w:t>
      </w:r>
      <w:r w:rsidR="00871E30" w:rsidRPr="00871E30">
        <w:rPr>
          <w:rFonts w:ascii="Times New Roman" w:hAnsi="Times New Roman"/>
          <w:iCs/>
          <w:color w:val="000000"/>
          <w:sz w:val="28"/>
          <w:szCs w:val="28"/>
        </w:rPr>
        <w:t xml:space="preserve">еизвестно, выделяется ли долутегравир с грудным молоком человека, влияет ли на выработку или оказывает влияние на ребёнка, находящегося на грудном вскармливании. </w:t>
      </w:r>
    </w:p>
    <w:p w14:paraId="41154D3B" w14:textId="77777777" w:rsidR="00871E30" w:rsidRPr="00871E30" w:rsidRDefault="003E69C9" w:rsidP="00871E30">
      <w:pPr>
        <w:spacing w:after="0" w:line="240" w:lineRule="auto"/>
        <w:jc w:val="both"/>
        <w:rPr>
          <w:rFonts w:ascii="Times New Roman" w:hAnsi="Times New Roman"/>
          <w:iCs/>
          <w:color w:val="000000"/>
          <w:sz w:val="28"/>
          <w:szCs w:val="28"/>
        </w:rPr>
      </w:pPr>
      <w:r w:rsidRPr="003E69C9">
        <w:rPr>
          <w:rFonts w:ascii="Times New Roman" w:hAnsi="Times New Roman"/>
          <w:iCs/>
          <w:color w:val="000000"/>
          <w:sz w:val="28"/>
          <w:szCs w:val="28"/>
        </w:rPr>
        <w:t>Было</w:t>
      </w:r>
      <w:r w:rsidR="00871E30" w:rsidRPr="00871E30">
        <w:rPr>
          <w:rFonts w:ascii="Times New Roman" w:hAnsi="Times New Roman"/>
          <w:iCs/>
          <w:color w:val="000000"/>
          <w:sz w:val="28"/>
          <w:szCs w:val="28"/>
        </w:rPr>
        <w:t xml:space="preserve"> отмечено, что эмтрицитабин выделяется с грудным молоком человека; неизвестно, обладает ли подобным свойством тенофовир алафенамид. Хоть остается неизвестным о выделении тенофовир алафенамида с грудным молоком у человека, имеются доказательства о наличии данного свойства у эмтрицитабина.  </w:t>
      </w:r>
    </w:p>
    <w:p w14:paraId="6940AF11" w14:textId="77777777" w:rsidR="00871E30" w:rsidRPr="00871E30" w:rsidRDefault="00871E30" w:rsidP="00871E30">
      <w:pPr>
        <w:spacing w:after="0" w:line="240" w:lineRule="auto"/>
        <w:jc w:val="both"/>
        <w:rPr>
          <w:rFonts w:ascii="Times New Roman" w:hAnsi="Times New Roman"/>
          <w:iCs/>
          <w:color w:val="000000"/>
          <w:sz w:val="28"/>
          <w:szCs w:val="28"/>
        </w:rPr>
      </w:pPr>
      <w:r w:rsidRPr="00871E30">
        <w:rPr>
          <w:rFonts w:ascii="Times New Roman" w:hAnsi="Times New Roman"/>
          <w:iCs/>
          <w:color w:val="000000"/>
          <w:sz w:val="28"/>
          <w:szCs w:val="28"/>
        </w:rPr>
        <w:t xml:space="preserve">Дети, находящиеся на грудном вскармливании у пациенток, принимающих терапию с эмтрицитабином, могут подвергаться риску развития вирусной резистентности к эмтрицитабину. Информации о других рисках касаемо детей, находящихся на грудном вскармливании у пациенток, принимающих терапию с эмтрицитабином, в настоящий момент не имеется. </w:t>
      </w:r>
    </w:p>
    <w:p w14:paraId="718908D2" w14:textId="77777777" w:rsidR="004B58B4" w:rsidRPr="004E7A03" w:rsidRDefault="004B58B4" w:rsidP="004B58B4">
      <w:pPr>
        <w:spacing w:after="0" w:line="240" w:lineRule="auto"/>
        <w:jc w:val="both"/>
        <w:rPr>
          <w:bCs/>
          <w:i/>
          <w:iCs/>
          <w:sz w:val="28"/>
          <w:szCs w:val="28"/>
        </w:rPr>
      </w:pPr>
      <w:r w:rsidRPr="004E7A03">
        <w:rPr>
          <w:rFonts w:ascii="Times New Roman" w:eastAsia="Times New Roman" w:hAnsi="Times New Roman"/>
          <w:bCs/>
          <w:i/>
          <w:iCs/>
          <w:sz w:val="28"/>
          <w:szCs w:val="28"/>
          <w:lang w:eastAsia="ru-RU"/>
        </w:rPr>
        <w:t xml:space="preserve">Влияние на способность управлять транспортными средствами и </w:t>
      </w:r>
      <w:r w:rsidRPr="004E7A03">
        <w:rPr>
          <w:rFonts w:ascii="Times New Roman" w:hAnsi="Times New Roman"/>
          <w:bCs/>
          <w:i/>
          <w:iCs/>
          <w:sz w:val="28"/>
          <w:szCs w:val="28"/>
        </w:rPr>
        <w:t>потенциально опасными механизмами</w:t>
      </w:r>
      <w:r w:rsidRPr="004E7A03">
        <w:rPr>
          <w:rFonts w:ascii="Times New Roman" w:eastAsia="Times New Roman" w:hAnsi="Times New Roman"/>
          <w:bCs/>
          <w:i/>
          <w:iCs/>
          <w:sz w:val="28"/>
          <w:szCs w:val="28"/>
          <w:lang w:eastAsia="ru-RU"/>
        </w:rPr>
        <w:t xml:space="preserve"> </w:t>
      </w:r>
    </w:p>
    <w:p w14:paraId="312464D7" w14:textId="77777777" w:rsidR="004B58B4" w:rsidRPr="004E7A03" w:rsidRDefault="004B58B4" w:rsidP="004B58B4">
      <w:pPr>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 xml:space="preserve">Следует проинформировать пациентов о возможной реакции головокружения в период терапии. </w:t>
      </w:r>
    </w:p>
    <w:p w14:paraId="5C3D4C05" w14:textId="77777777" w:rsidR="004B58B4" w:rsidRPr="004E7A03" w:rsidRDefault="004B58B4" w:rsidP="004B58B4">
      <w:pPr>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При оценке способности пациента управлять транспортными средствами или потенциально опасными механизмами, следует учитывать его клинический статус и профиль побочных реакций на долутегравир.</w:t>
      </w:r>
    </w:p>
    <w:p w14:paraId="369A3355" w14:textId="77777777" w:rsidR="007D0E84" w:rsidRPr="004E7A03" w:rsidRDefault="007D0E84" w:rsidP="00844CE8">
      <w:pPr>
        <w:spacing w:after="0" w:line="240" w:lineRule="auto"/>
        <w:jc w:val="both"/>
        <w:rPr>
          <w:rFonts w:ascii="Times New Roman" w:eastAsia="Times New Roman" w:hAnsi="Times New Roman"/>
          <w:b/>
          <w:sz w:val="28"/>
          <w:szCs w:val="28"/>
          <w:lang w:eastAsia="ru-RU"/>
        </w:rPr>
      </w:pPr>
    </w:p>
    <w:p w14:paraId="54B023B6" w14:textId="77777777" w:rsidR="00DB406A" w:rsidRPr="004E7A03" w:rsidRDefault="00DB406A" w:rsidP="00844CE8">
      <w:pPr>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Рекомендации по применению</w:t>
      </w:r>
    </w:p>
    <w:p w14:paraId="0456E32C" w14:textId="77777777" w:rsidR="005C4B12" w:rsidRPr="004E7A03" w:rsidRDefault="00DB406A" w:rsidP="00844CE8">
      <w:pPr>
        <w:spacing w:after="0" w:line="240" w:lineRule="auto"/>
        <w:jc w:val="both"/>
        <w:rPr>
          <w:rFonts w:ascii="Times New Roman" w:eastAsia="Times New Roman" w:hAnsi="Times New Roman"/>
          <w:b/>
          <w:i/>
          <w:sz w:val="28"/>
          <w:szCs w:val="28"/>
          <w:lang w:eastAsia="ru-RU"/>
        </w:rPr>
      </w:pPr>
      <w:bookmarkStart w:id="8" w:name="2175220274"/>
      <w:r w:rsidRPr="004E7A03">
        <w:rPr>
          <w:rFonts w:ascii="Times New Roman" w:eastAsia="Times New Roman" w:hAnsi="Times New Roman"/>
          <w:b/>
          <w:i/>
          <w:sz w:val="28"/>
          <w:szCs w:val="28"/>
          <w:lang w:eastAsia="ru-RU"/>
        </w:rPr>
        <w:t>Режим дозирования</w:t>
      </w:r>
      <w:r w:rsidR="00617843" w:rsidRPr="004E7A03">
        <w:rPr>
          <w:rFonts w:ascii="Times New Roman" w:eastAsia="Times New Roman" w:hAnsi="Times New Roman"/>
          <w:b/>
          <w:i/>
          <w:sz w:val="28"/>
          <w:szCs w:val="28"/>
          <w:lang w:eastAsia="ru-RU"/>
        </w:rPr>
        <w:t xml:space="preserve"> </w:t>
      </w:r>
    </w:p>
    <w:p w14:paraId="1455D199"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bookmarkStart w:id="9" w:name="_Hlk58315553"/>
      <w:bookmarkStart w:id="10" w:name="2175220275"/>
      <w:bookmarkEnd w:id="8"/>
      <w:r w:rsidRPr="00871E30">
        <w:rPr>
          <w:rFonts w:ascii="Times New Roman" w:eastAsia="Times New Roman" w:hAnsi="Times New Roman"/>
          <w:i/>
          <w:sz w:val="28"/>
          <w:szCs w:val="28"/>
          <w:lang w:eastAsia="ru-RU"/>
        </w:rPr>
        <w:t xml:space="preserve">Тестирование перед началом приема препарата Долутегравир, эмтрицитабин и тенофовир алафенамид </w:t>
      </w:r>
    </w:p>
    <w:p w14:paraId="3B56A06A"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Перед началом приема препарата </w:t>
      </w:r>
      <w:r w:rsidRPr="00871E30">
        <w:rPr>
          <w:rFonts w:ascii="Times New Roman" w:hAnsi="Times New Roman"/>
          <w:sz w:val="28"/>
          <w:szCs w:val="28"/>
        </w:rPr>
        <w:t xml:space="preserve">Долутегравир, эмтрицитабин и тенофовир алафенамид, </w:t>
      </w:r>
      <w:r w:rsidRPr="00871E30">
        <w:rPr>
          <w:rFonts w:ascii="Times New Roman" w:eastAsia="Times New Roman" w:hAnsi="Times New Roman"/>
          <w:sz w:val="28"/>
          <w:szCs w:val="28"/>
          <w:lang w:eastAsia="ru-RU"/>
        </w:rPr>
        <w:t xml:space="preserve">пациентам необходимо пройти тестирование на инфекцию вируса гепатита, а также следует </w:t>
      </w:r>
      <w:bookmarkStart w:id="11" w:name="_Hlk73693179"/>
      <w:r w:rsidRPr="00871E30">
        <w:rPr>
          <w:rFonts w:ascii="Times New Roman" w:eastAsia="Times New Roman" w:hAnsi="Times New Roman"/>
          <w:sz w:val="28"/>
          <w:szCs w:val="28"/>
          <w:lang w:eastAsia="ru-RU"/>
        </w:rPr>
        <w:t xml:space="preserve">провести оценку </w:t>
      </w:r>
      <w:bookmarkEnd w:id="11"/>
      <w:r w:rsidRPr="00871E30">
        <w:rPr>
          <w:rFonts w:ascii="Times New Roman" w:eastAsia="Times New Roman" w:hAnsi="Times New Roman"/>
          <w:sz w:val="28"/>
          <w:szCs w:val="28"/>
          <w:lang w:eastAsia="ru-RU"/>
        </w:rPr>
        <w:t>клиренса креатинина, наличие и уровень глюкозы, белка в моче, а также у всех пациентов во время терапии необходимо проводить мониторинг.</w:t>
      </w:r>
    </w:p>
    <w:p w14:paraId="0554E771"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Препарат </w:t>
      </w:r>
      <w:r w:rsidRPr="00871E30">
        <w:rPr>
          <w:rFonts w:ascii="Times New Roman" w:hAnsi="Times New Roman"/>
          <w:sz w:val="28"/>
          <w:szCs w:val="28"/>
        </w:rPr>
        <w:t xml:space="preserve">Долутегравир, эмтрицитабин и тенофовир алафенамид </w:t>
      </w:r>
      <w:r w:rsidRPr="00871E30">
        <w:rPr>
          <w:rFonts w:ascii="Times New Roman" w:eastAsia="Times New Roman" w:hAnsi="Times New Roman"/>
          <w:sz w:val="28"/>
          <w:szCs w:val="28"/>
          <w:lang w:eastAsia="ru-RU"/>
        </w:rPr>
        <w:t xml:space="preserve">представляет собой комбинированный препарат с фиксированной дозой из трех компонентов, содержащий 50 мг долутегравира, 200 мг эмтрицитабина и 25 мг тенофовир алафенамида. Рекомендуемая доза препарата </w:t>
      </w:r>
      <w:r w:rsidRPr="00871E30">
        <w:rPr>
          <w:rFonts w:ascii="Times New Roman" w:hAnsi="Times New Roman"/>
          <w:sz w:val="28"/>
          <w:szCs w:val="28"/>
        </w:rPr>
        <w:t xml:space="preserve">Долутегравир, эмтрицитабин и тенофовир алафенамид </w:t>
      </w:r>
      <w:r w:rsidRPr="00871E30">
        <w:rPr>
          <w:rFonts w:ascii="Times New Roman" w:eastAsia="Times New Roman" w:hAnsi="Times New Roman"/>
          <w:sz w:val="28"/>
          <w:szCs w:val="28"/>
          <w:lang w:eastAsia="ru-RU"/>
        </w:rPr>
        <w:t xml:space="preserve">составляет 1 таблетка, принимаемая перорально один раз в сутки с пищей или без пищи взрослым и детям с массой тела не менее 40 кг и клиренсом креатинина не менее 30 мл/мин. </w:t>
      </w:r>
    </w:p>
    <w:p w14:paraId="253F80DE"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lastRenderedPageBreak/>
        <w:t>Рекомендации по дозированию препарата Долутегравир, эмтрицитабин и тенофовир алафенамид с одновременно принимаемыми препаратами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871E30" w:rsidRPr="00871E30" w14:paraId="03E084F9" w14:textId="77777777" w:rsidTr="004E7FDD">
        <w:tc>
          <w:tcPr>
            <w:tcW w:w="4253" w:type="dxa"/>
            <w:shd w:val="clear" w:color="auto" w:fill="auto"/>
          </w:tcPr>
          <w:p w14:paraId="103F7B93"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Одновременно принимаемый препарат</w:t>
            </w:r>
          </w:p>
        </w:tc>
        <w:tc>
          <w:tcPr>
            <w:tcW w:w="4819" w:type="dxa"/>
            <w:shd w:val="clear" w:color="auto" w:fill="auto"/>
          </w:tcPr>
          <w:p w14:paraId="6E746F58" w14:textId="77777777" w:rsidR="00871E30" w:rsidRPr="00871E30" w:rsidRDefault="00871E30" w:rsidP="004E7FDD">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Рекомендации по дозированию</w:t>
            </w:r>
          </w:p>
        </w:tc>
      </w:tr>
      <w:tr w:rsidR="00871E30" w:rsidRPr="00871E30" w14:paraId="3ABC1A38" w14:textId="77777777" w:rsidTr="004E7FDD">
        <w:tc>
          <w:tcPr>
            <w:tcW w:w="4253" w:type="dxa"/>
            <w:shd w:val="clear" w:color="auto" w:fill="auto"/>
          </w:tcPr>
          <w:p w14:paraId="5759FDA0" w14:textId="77777777" w:rsidR="00871E30" w:rsidRPr="00871E30" w:rsidRDefault="00871E30" w:rsidP="004E7FDD">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Эфавиренц, фосампренавир/ритонавир, типранавир/ритонавир или рифампицин</w:t>
            </w:r>
          </w:p>
        </w:tc>
        <w:tc>
          <w:tcPr>
            <w:tcW w:w="4819" w:type="dxa"/>
            <w:shd w:val="clear" w:color="auto" w:fill="auto"/>
          </w:tcPr>
          <w:p w14:paraId="3263D3AB" w14:textId="77777777" w:rsidR="00871E30" w:rsidRPr="00871E30" w:rsidRDefault="00871E30" w:rsidP="004E7FDD">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Рекомендуемая дозировка долутегравира составляет 50 мг два раза в сутки. Следует принимать дополнительную дозу долутегравира в дозе 50 мг с интервалом 12 часов отдельно от препарата Долутегравир, эмтрицитабин и тенофовир алафенамид.</w:t>
            </w:r>
          </w:p>
        </w:tc>
      </w:tr>
      <w:tr w:rsidR="00871E30" w:rsidRPr="00871E30" w14:paraId="7F87DE27" w14:textId="77777777" w:rsidTr="004E7FDD">
        <w:tc>
          <w:tcPr>
            <w:tcW w:w="4253" w:type="dxa"/>
            <w:shd w:val="clear" w:color="auto" w:fill="auto"/>
          </w:tcPr>
          <w:p w14:paraId="5D469AAD" w14:textId="77777777" w:rsidR="00871E30" w:rsidRPr="00871E30" w:rsidRDefault="00871E30" w:rsidP="004E7FDD">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Карбамазепин</w:t>
            </w:r>
          </w:p>
        </w:tc>
        <w:tc>
          <w:tcPr>
            <w:tcW w:w="4819" w:type="dxa"/>
            <w:shd w:val="clear" w:color="auto" w:fill="auto"/>
          </w:tcPr>
          <w:p w14:paraId="78A8D1DC" w14:textId="77777777" w:rsidR="00871E30" w:rsidRPr="00871E30" w:rsidRDefault="00871E30" w:rsidP="004E7FDD">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Дополнительную дозу долутегравира 50 мг следует принимать с интервалом 12 часов отдельно от препарата Долутегравир, эмтрицитабин и тенофовир алафенамид; одновременный прием с препаратом Долутегравир, эмтрицитабин и тенофовир алафенамид не рекомендуется из-за наличия в составе тенофовир алафенамида. </w:t>
            </w:r>
          </w:p>
        </w:tc>
      </w:tr>
    </w:tbl>
    <w:p w14:paraId="1A627A7A" w14:textId="77777777" w:rsidR="004062DD" w:rsidRDefault="004062DD" w:rsidP="00871E30">
      <w:pPr>
        <w:spacing w:after="0" w:line="240" w:lineRule="auto"/>
        <w:jc w:val="both"/>
        <w:rPr>
          <w:rFonts w:ascii="Times New Roman" w:eastAsia="Times New Roman" w:hAnsi="Times New Roman"/>
          <w:i/>
          <w:sz w:val="28"/>
          <w:szCs w:val="28"/>
          <w:lang w:eastAsia="ru-RU"/>
        </w:rPr>
      </w:pPr>
      <w:bookmarkStart w:id="12" w:name="_Hlk73693855"/>
    </w:p>
    <w:p w14:paraId="4F015AFC"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Пропущенная доза</w:t>
      </w:r>
    </w:p>
    <w:p w14:paraId="020C4606"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Если пациент пропустил прием, следует принять препарат, как только он вспомнит. При последующем приеме не следует удваивать пропущенную дозу и превышать установленную.</w:t>
      </w:r>
    </w:p>
    <w:bookmarkEnd w:id="12"/>
    <w:p w14:paraId="2BE70ACE" w14:textId="77777777" w:rsidR="00871E30" w:rsidRPr="00871E30" w:rsidRDefault="00871E30" w:rsidP="00871E30">
      <w:pPr>
        <w:spacing w:after="0" w:line="240" w:lineRule="auto"/>
        <w:jc w:val="both"/>
        <w:rPr>
          <w:rFonts w:ascii="Times New Roman" w:eastAsia="Times New Roman" w:hAnsi="Times New Roman"/>
          <w:bCs/>
          <w:i/>
          <w:iCs/>
          <w:sz w:val="28"/>
          <w:szCs w:val="28"/>
          <w:lang w:eastAsia="ru-RU"/>
        </w:rPr>
      </w:pPr>
      <w:r w:rsidRPr="00871E30">
        <w:rPr>
          <w:rFonts w:ascii="Times New Roman" w:eastAsia="Times New Roman" w:hAnsi="Times New Roman"/>
          <w:bCs/>
          <w:i/>
          <w:iCs/>
          <w:sz w:val="28"/>
          <w:szCs w:val="28"/>
          <w:lang w:eastAsia="ru-RU"/>
        </w:rPr>
        <w:t>Особые группы пациентов</w:t>
      </w:r>
    </w:p>
    <w:p w14:paraId="59964446"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Пациенты пожилого возраста</w:t>
      </w:r>
    </w:p>
    <w:p w14:paraId="74C60E30"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bookmarkStart w:id="13" w:name="_Hlk73694677"/>
      <w:r w:rsidRPr="00871E30">
        <w:rPr>
          <w:rFonts w:ascii="Times New Roman" w:eastAsia="Times New Roman" w:hAnsi="Times New Roman"/>
          <w:sz w:val="28"/>
          <w:szCs w:val="28"/>
          <w:lang w:eastAsia="ru-RU"/>
        </w:rPr>
        <w:t>Данных по рекомендации по дозированию и ответной реакции на терапию у пациентов от 65 лет и старше для сравнения с молодыми субъектами, отсутствуют. Следует соблюдать осторожность при назначении препарата пациентам пожилого возраста, поскольку прием долутегравира, эмтрицитабина и тенофовир алафенамида отражает большую частоту снижения функции печени, почек или сердца, а также усиление сопутствующих заболеваний или другой лекарственной терапии</w:t>
      </w:r>
      <w:bookmarkEnd w:id="13"/>
      <w:r w:rsidRPr="00871E30">
        <w:rPr>
          <w:rFonts w:ascii="Times New Roman" w:eastAsia="Times New Roman" w:hAnsi="Times New Roman"/>
          <w:sz w:val="28"/>
          <w:szCs w:val="28"/>
          <w:lang w:eastAsia="ru-RU"/>
        </w:rPr>
        <w:t>.</w:t>
      </w:r>
    </w:p>
    <w:p w14:paraId="6D1B42B1"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Почечная недостаточность</w:t>
      </w:r>
    </w:p>
    <w:p w14:paraId="49DA78DC"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Прием препарата Долутегравир, эмтрицитабин и тенофовир алафенамид не рекомендуется пациентам с тяжелой почечной недостаточностью (с р</w:t>
      </w:r>
      <w:r w:rsidR="004062DD">
        <w:rPr>
          <w:rFonts w:ascii="Times New Roman" w:eastAsia="Times New Roman" w:hAnsi="Times New Roman"/>
          <w:sz w:val="28"/>
          <w:szCs w:val="28"/>
          <w:lang w:eastAsia="ru-RU"/>
        </w:rPr>
        <w:t>асчетным клиренсом креатинина &lt;</w:t>
      </w:r>
      <w:r w:rsidRPr="00871E30">
        <w:rPr>
          <w:rFonts w:ascii="Times New Roman" w:eastAsia="Times New Roman" w:hAnsi="Times New Roman"/>
          <w:sz w:val="28"/>
          <w:szCs w:val="28"/>
          <w:lang w:eastAsia="ru-RU"/>
        </w:rPr>
        <w:t>30 мл</w:t>
      </w:r>
      <w:r w:rsidRPr="00871E30">
        <w:rPr>
          <w:rFonts w:ascii="Times New Roman" w:eastAsia="Times New Roman" w:hAnsi="Times New Roman"/>
          <w:sz w:val="28"/>
          <w:szCs w:val="28"/>
          <w:lang w:val="kk-KZ" w:eastAsia="ru-RU"/>
        </w:rPr>
        <w:t>/</w:t>
      </w:r>
      <w:r w:rsidRPr="00871E30">
        <w:rPr>
          <w:rFonts w:ascii="Times New Roman" w:eastAsia="Times New Roman" w:hAnsi="Times New Roman"/>
          <w:sz w:val="28"/>
          <w:szCs w:val="28"/>
          <w:lang w:eastAsia="ru-RU"/>
        </w:rPr>
        <w:t xml:space="preserve">мин, поскольку </w:t>
      </w:r>
      <w:r w:rsidRPr="00871E30">
        <w:rPr>
          <w:rFonts w:ascii="Times New Roman" w:eastAsia="Times New Roman" w:hAnsi="Times New Roman"/>
          <w:sz w:val="28"/>
          <w:szCs w:val="28"/>
          <w:lang w:val="kk-KZ" w:eastAsia="ru-RU"/>
        </w:rPr>
        <w:t>препарат</w:t>
      </w:r>
      <w:r w:rsidRPr="00871E30">
        <w:rPr>
          <w:rFonts w:ascii="Times New Roman" w:eastAsia="Times New Roman" w:hAnsi="Times New Roman"/>
          <w:sz w:val="28"/>
          <w:szCs w:val="28"/>
          <w:lang w:eastAsia="ru-RU"/>
        </w:rPr>
        <w:t xml:space="preserve"> Долутегравир, эмтрицитабин и тенофовир алафенамид представляет собой комбинацию с фиксированной дозой </w:t>
      </w:r>
      <w:bookmarkStart w:id="14" w:name="_Hlk73694764"/>
      <w:r w:rsidRPr="00871E30">
        <w:rPr>
          <w:rFonts w:ascii="Times New Roman" w:eastAsia="Times New Roman" w:hAnsi="Times New Roman"/>
          <w:sz w:val="28"/>
          <w:szCs w:val="28"/>
          <w:lang w:eastAsia="ru-RU"/>
        </w:rPr>
        <w:t>и дозировку каждого компонента невозможно скорректировать</w:t>
      </w:r>
      <w:bookmarkEnd w:id="14"/>
      <w:r w:rsidRPr="00871E30">
        <w:rPr>
          <w:rFonts w:ascii="Times New Roman" w:eastAsia="Times New Roman" w:hAnsi="Times New Roman"/>
          <w:sz w:val="28"/>
          <w:szCs w:val="28"/>
          <w:lang w:eastAsia="ru-RU"/>
        </w:rPr>
        <w:t xml:space="preserve">. Не рекомендуется корректировать дозу </w:t>
      </w:r>
      <w:r w:rsidRPr="00871E30">
        <w:rPr>
          <w:rFonts w:ascii="Times New Roman" w:eastAsia="Times New Roman" w:hAnsi="Times New Roman"/>
          <w:sz w:val="28"/>
          <w:szCs w:val="28"/>
          <w:lang w:val="kk-KZ" w:eastAsia="ru-RU"/>
        </w:rPr>
        <w:t xml:space="preserve">препарата </w:t>
      </w:r>
      <w:r w:rsidRPr="00871E30">
        <w:rPr>
          <w:rFonts w:ascii="Times New Roman" w:eastAsia="Times New Roman" w:hAnsi="Times New Roman"/>
          <w:sz w:val="28"/>
          <w:szCs w:val="28"/>
          <w:lang w:eastAsia="ru-RU"/>
        </w:rPr>
        <w:t xml:space="preserve">Долутегравир, эмтрицитабин и тенофовир алафенамид </w:t>
      </w:r>
      <w:r w:rsidRPr="00871E30">
        <w:rPr>
          <w:rFonts w:ascii="Times New Roman" w:eastAsia="Times New Roman" w:hAnsi="Times New Roman"/>
          <w:sz w:val="28"/>
          <w:szCs w:val="28"/>
          <w:lang w:eastAsia="ru-RU"/>
        </w:rPr>
        <w:lastRenderedPageBreak/>
        <w:t>пациентам с легкой или умеренной почечной недостаточностью (с р</w:t>
      </w:r>
      <w:r w:rsidR="004062DD">
        <w:rPr>
          <w:rFonts w:ascii="Times New Roman" w:eastAsia="Times New Roman" w:hAnsi="Times New Roman"/>
          <w:sz w:val="28"/>
          <w:szCs w:val="28"/>
          <w:lang w:eastAsia="ru-RU"/>
        </w:rPr>
        <w:t>асчетным клиренсом креатинина ≥</w:t>
      </w:r>
      <w:r w:rsidRPr="00871E30">
        <w:rPr>
          <w:rFonts w:ascii="Times New Roman" w:eastAsia="Times New Roman" w:hAnsi="Times New Roman"/>
          <w:sz w:val="28"/>
          <w:szCs w:val="28"/>
          <w:lang w:eastAsia="ru-RU"/>
        </w:rPr>
        <w:t>30 мл</w:t>
      </w:r>
      <w:r w:rsidRPr="00871E30">
        <w:rPr>
          <w:rFonts w:ascii="Times New Roman" w:eastAsia="Times New Roman" w:hAnsi="Times New Roman"/>
          <w:sz w:val="28"/>
          <w:szCs w:val="28"/>
          <w:lang w:val="kk-KZ" w:eastAsia="ru-RU"/>
        </w:rPr>
        <w:t>/мин</w:t>
      </w:r>
      <w:r w:rsidRPr="00871E30">
        <w:rPr>
          <w:rFonts w:ascii="Times New Roman" w:eastAsia="Times New Roman" w:hAnsi="Times New Roman"/>
          <w:sz w:val="28"/>
          <w:szCs w:val="28"/>
          <w:lang w:eastAsia="ru-RU"/>
        </w:rPr>
        <w:t>).</w:t>
      </w:r>
    </w:p>
    <w:p w14:paraId="5D5B73CD" w14:textId="77777777" w:rsidR="00871E30" w:rsidRPr="00871E30" w:rsidRDefault="00871E30" w:rsidP="00871E30">
      <w:pPr>
        <w:spacing w:after="0" w:line="240" w:lineRule="auto"/>
        <w:jc w:val="both"/>
        <w:rPr>
          <w:rFonts w:ascii="Times New Roman" w:eastAsia="Times New Roman" w:hAnsi="Times New Roman"/>
          <w:i/>
          <w:sz w:val="28"/>
          <w:szCs w:val="28"/>
          <w:lang w:eastAsia="ru-RU"/>
        </w:rPr>
      </w:pPr>
      <w:r w:rsidRPr="00871E30">
        <w:rPr>
          <w:rFonts w:ascii="Times New Roman" w:eastAsia="Times New Roman" w:hAnsi="Times New Roman"/>
          <w:i/>
          <w:sz w:val="28"/>
          <w:szCs w:val="28"/>
          <w:lang w:eastAsia="ru-RU"/>
        </w:rPr>
        <w:t>Печеночная недостаточность</w:t>
      </w:r>
    </w:p>
    <w:p w14:paraId="18765E2F" w14:textId="77777777" w:rsidR="00871E30" w:rsidRPr="00871E30" w:rsidRDefault="00871E30" w:rsidP="00871E30">
      <w:pPr>
        <w:spacing w:after="0" w:line="240" w:lineRule="auto"/>
        <w:jc w:val="both"/>
        <w:rPr>
          <w:rFonts w:ascii="Times New Roman" w:eastAsia="Times New Roman" w:hAnsi="Times New Roman"/>
          <w:sz w:val="28"/>
          <w:szCs w:val="28"/>
          <w:lang w:eastAsia="ru-RU"/>
        </w:rPr>
      </w:pPr>
      <w:r w:rsidRPr="00871E30">
        <w:rPr>
          <w:rFonts w:ascii="Times New Roman" w:eastAsia="Times New Roman" w:hAnsi="Times New Roman"/>
          <w:sz w:val="28"/>
          <w:szCs w:val="28"/>
          <w:lang w:eastAsia="ru-RU"/>
        </w:rPr>
        <w:t xml:space="preserve">Не рекомендуется корректировать дозу </w:t>
      </w:r>
      <w:r w:rsidRPr="00871E30">
        <w:rPr>
          <w:rFonts w:ascii="Times New Roman" w:eastAsia="Times New Roman" w:hAnsi="Times New Roman"/>
          <w:sz w:val="28"/>
          <w:szCs w:val="28"/>
          <w:lang w:val="kk-KZ" w:eastAsia="ru-RU"/>
        </w:rPr>
        <w:t>препарата</w:t>
      </w:r>
      <w:r w:rsidRPr="00871E30">
        <w:rPr>
          <w:rFonts w:ascii="Times New Roman" w:eastAsia="Times New Roman" w:hAnsi="Times New Roman"/>
          <w:sz w:val="28"/>
          <w:szCs w:val="28"/>
          <w:lang w:eastAsia="ru-RU"/>
        </w:rPr>
        <w:t xml:space="preserve"> Долутегравир, эмтрицитабин и тенофовир алафенамид у пациентов с легк</w:t>
      </w:r>
      <w:r w:rsidRPr="00871E30">
        <w:rPr>
          <w:rFonts w:ascii="Times New Roman" w:eastAsia="Times New Roman" w:hAnsi="Times New Roman"/>
          <w:sz w:val="28"/>
          <w:szCs w:val="28"/>
          <w:lang w:val="kk-KZ" w:eastAsia="ru-RU"/>
        </w:rPr>
        <w:t>ой</w:t>
      </w:r>
      <w:r w:rsidRPr="00871E30">
        <w:rPr>
          <w:rFonts w:ascii="Times New Roman" w:eastAsia="Times New Roman" w:hAnsi="Times New Roman"/>
          <w:sz w:val="28"/>
          <w:szCs w:val="28"/>
          <w:lang w:eastAsia="ru-RU"/>
        </w:rPr>
        <w:t xml:space="preserve"> (класс A по шкале Чайлд-Пью) или умеренн</w:t>
      </w:r>
      <w:r w:rsidRPr="00871E30">
        <w:rPr>
          <w:rFonts w:ascii="Times New Roman" w:eastAsia="Times New Roman" w:hAnsi="Times New Roman"/>
          <w:sz w:val="28"/>
          <w:szCs w:val="28"/>
          <w:lang w:val="kk-KZ" w:eastAsia="ru-RU"/>
        </w:rPr>
        <w:t>ой</w:t>
      </w:r>
      <w:r w:rsidRPr="00871E30">
        <w:rPr>
          <w:rFonts w:ascii="Times New Roman" w:eastAsia="Times New Roman" w:hAnsi="Times New Roman"/>
          <w:sz w:val="28"/>
          <w:szCs w:val="28"/>
          <w:lang w:eastAsia="ru-RU"/>
        </w:rPr>
        <w:t xml:space="preserve"> (класс B по классификации Чайлд-Пью) печеночной недостаточностью. </w:t>
      </w:r>
      <w:r w:rsidRPr="00871E30">
        <w:rPr>
          <w:rFonts w:ascii="Times New Roman" w:eastAsia="Times New Roman" w:hAnsi="Times New Roman"/>
          <w:sz w:val="28"/>
          <w:szCs w:val="28"/>
          <w:lang w:val="kk-KZ" w:eastAsia="ru-RU"/>
        </w:rPr>
        <w:t>Данные по фармакокинетике препарата</w:t>
      </w:r>
      <w:r w:rsidRPr="00871E30">
        <w:rPr>
          <w:rFonts w:ascii="Times New Roman" w:eastAsia="Times New Roman" w:hAnsi="Times New Roman"/>
          <w:sz w:val="28"/>
          <w:szCs w:val="28"/>
          <w:lang w:eastAsia="ru-RU"/>
        </w:rPr>
        <w:t xml:space="preserve"> Долутегравир, эмтрицитабин и тенофовир алафенамид </w:t>
      </w:r>
      <w:r w:rsidRPr="00871E30">
        <w:rPr>
          <w:rFonts w:ascii="Times New Roman" w:eastAsia="Times New Roman" w:hAnsi="Times New Roman"/>
          <w:sz w:val="28"/>
          <w:szCs w:val="28"/>
          <w:lang w:val="kk-KZ" w:eastAsia="ru-RU"/>
        </w:rPr>
        <w:t xml:space="preserve">у пациентов с тяжелой степенью </w:t>
      </w:r>
      <w:r w:rsidRPr="00871E30">
        <w:rPr>
          <w:rFonts w:ascii="Times New Roman" w:eastAsia="Times New Roman" w:hAnsi="Times New Roman"/>
          <w:sz w:val="28"/>
          <w:szCs w:val="28"/>
          <w:lang w:eastAsia="ru-RU"/>
        </w:rPr>
        <w:t xml:space="preserve">печеночной недостаточностью (класс C по классификации Чайлд-Пью) отсутствуют, следовательно, прием препарата у данной группы пациентов не рекомендуется. </w:t>
      </w:r>
    </w:p>
    <w:bookmarkEnd w:id="9"/>
    <w:p w14:paraId="1007FB55" w14:textId="77777777" w:rsidR="005C4B12" w:rsidRPr="004E7A03" w:rsidRDefault="00DB406A" w:rsidP="00844CE8">
      <w:pPr>
        <w:spacing w:after="0" w:line="240" w:lineRule="auto"/>
        <w:jc w:val="both"/>
        <w:rPr>
          <w:rFonts w:ascii="Times New Roman" w:hAnsi="Times New Roman"/>
          <w:i/>
          <w:color w:val="000000"/>
          <w:sz w:val="28"/>
          <w:szCs w:val="28"/>
        </w:rPr>
      </w:pPr>
      <w:r w:rsidRPr="004E7A03">
        <w:rPr>
          <w:rFonts w:ascii="Times New Roman" w:eastAsia="Times New Roman" w:hAnsi="Times New Roman"/>
          <w:b/>
          <w:i/>
          <w:sz w:val="28"/>
          <w:szCs w:val="28"/>
          <w:lang w:eastAsia="ru-RU"/>
        </w:rPr>
        <w:t>Метод и путь введения</w:t>
      </w:r>
      <w:r w:rsidRPr="004E7A03">
        <w:rPr>
          <w:rFonts w:ascii="Times New Roman" w:hAnsi="Times New Roman"/>
          <w:i/>
          <w:color w:val="000000"/>
          <w:sz w:val="28"/>
          <w:szCs w:val="28"/>
        </w:rPr>
        <w:t xml:space="preserve"> </w:t>
      </w:r>
    </w:p>
    <w:p w14:paraId="1D419F95" w14:textId="77777777" w:rsidR="004B58B4" w:rsidRPr="004E7A03" w:rsidRDefault="004B58B4" w:rsidP="004B58B4">
      <w:pPr>
        <w:spacing w:after="0" w:line="240" w:lineRule="auto"/>
        <w:jc w:val="both"/>
        <w:rPr>
          <w:rFonts w:ascii="Times New Roman" w:hAnsi="Times New Roman"/>
          <w:sz w:val="28"/>
          <w:szCs w:val="28"/>
        </w:rPr>
      </w:pPr>
      <w:r w:rsidRPr="004E7A03">
        <w:rPr>
          <w:rFonts w:ascii="Times New Roman" w:hAnsi="Times New Roman"/>
          <w:sz w:val="28"/>
          <w:szCs w:val="28"/>
        </w:rPr>
        <w:t>Перорально.</w:t>
      </w:r>
    </w:p>
    <w:p w14:paraId="7993D757" w14:textId="77777777" w:rsidR="00DB406A" w:rsidRPr="004E7A03" w:rsidRDefault="004B58B4" w:rsidP="00844CE8">
      <w:pPr>
        <w:spacing w:after="0" w:line="240" w:lineRule="auto"/>
        <w:jc w:val="both"/>
        <w:rPr>
          <w:rFonts w:ascii="Times New Roman" w:eastAsia="Microsoft Sans Serif" w:hAnsi="Times New Roman"/>
          <w:sz w:val="28"/>
          <w:szCs w:val="28"/>
          <w:lang w:bidi="ru-RU"/>
        </w:rPr>
      </w:pPr>
      <w:r w:rsidRPr="004E7A03">
        <w:rPr>
          <w:rFonts w:ascii="Times New Roman" w:eastAsia="Microsoft Sans Serif" w:hAnsi="Times New Roman"/>
          <w:sz w:val="28"/>
          <w:szCs w:val="28"/>
          <w:lang w:bidi="ru-RU"/>
        </w:rPr>
        <w:t>Препарат Долутегравир, эмтрицитабин и тенофовир алафенамид может приниматься независимо от приема пищи.</w:t>
      </w:r>
    </w:p>
    <w:p w14:paraId="37B917FF" w14:textId="77777777" w:rsidR="005C4B12" w:rsidRPr="004E7A03" w:rsidRDefault="00DB406A" w:rsidP="00844CE8">
      <w:pPr>
        <w:spacing w:after="0" w:line="240" w:lineRule="auto"/>
        <w:jc w:val="both"/>
        <w:rPr>
          <w:rFonts w:ascii="Times New Roman" w:hAnsi="Times New Roman"/>
          <w:i/>
          <w:sz w:val="28"/>
          <w:szCs w:val="28"/>
        </w:rPr>
      </w:pPr>
      <w:bookmarkStart w:id="15" w:name="2175220278"/>
      <w:bookmarkEnd w:id="10"/>
      <w:r w:rsidRPr="004E7A03">
        <w:rPr>
          <w:rFonts w:ascii="Times New Roman" w:eastAsia="Times New Roman" w:hAnsi="Times New Roman"/>
          <w:b/>
          <w:i/>
          <w:sz w:val="28"/>
          <w:szCs w:val="28"/>
          <w:lang w:eastAsia="ru-RU"/>
        </w:rPr>
        <w:t>Меры, которые необходимо принять в случае передозировки</w:t>
      </w:r>
      <w:r w:rsidRPr="004E7A03">
        <w:rPr>
          <w:rFonts w:ascii="Times New Roman" w:hAnsi="Times New Roman"/>
          <w:i/>
          <w:sz w:val="28"/>
          <w:szCs w:val="28"/>
        </w:rPr>
        <w:t xml:space="preserve"> </w:t>
      </w:r>
    </w:p>
    <w:p w14:paraId="52DA60FC" w14:textId="77777777" w:rsidR="00871E30" w:rsidRPr="00871E30" w:rsidRDefault="00871E30" w:rsidP="00871E30">
      <w:pPr>
        <w:spacing w:after="0" w:line="240" w:lineRule="auto"/>
        <w:jc w:val="both"/>
        <w:rPr>
          <w:rFonts w:ascii="Times New Roman" w:hAnsi="Times New Roman"/>
          <w:bCs/>
          <w:color w:val="000000"/>
          <w:sz w:val="28"/>
          <w:szCs w:val="28"/>
        </w:rPr>
      </w:pPr>
      <w:bookmarkStart w:id="16" w:name="_Hlk58315636"/>
      <w:bookmarkEnd w:id="15"/>
      <w:r w:rsidRPr="00871E30">
        <w:rPr>
          <w:rFonts w:ascii="Times New Roman" w:hAnsi="Times New Roman"/>
          <w:bCs/>
          <w:color w:val="000000"/>
          <w:sz w:val="28"/>
          <w:szCs w:val="28"/>
        </w:rPr>
        <w:t>Известно специфическое лечение при передозировке долутегравиром, эмтрицитабином и тенофовир алафенамидом. В случае передозировки следует наблюдать за состоянием пациента и при необходимости применять стандартное поддерживающее лечение.</w:t>
      </w:r>
    </w:p>
    <w:p w14:paraId="1EC78B1A" w14:textId="77777777" w:rsidR="00871E30" w:rsidRPr="00871E30" w:rsidRDefault="00871E30" w:rsidP="00871E30">
      <w:pPr>
        <w:spacing w:after="0" w:line="240" w:lineRule="auto"/>
        <w:jc w:val="both"/>
        <w:rPr>
          <w:rFonts w:ascii="Times New Roman" w:hAnsi="Times New Roman"/>
          <w:bCs/>
          <w:color w:val="000000"/>
          <w:sz w:val="28"/>
          <w:szCs w:val="28"/>
        </w:rPr>
      </w:pPr>
      <w:r w:rsidRPr="00871E30">
        <w:rPr>
          <w:rFonts w:ascii="Times New Roman" w:hAnsi="Times New Roman"/>
          <w:bCs/>
          <w:i/>
          <w:iCs/>
          <w:color w:val="000000"/>
          <w:sz w:val="28"/>
          <w:szCs w:val="28"/>
        </w:rPr>
        <w:t>Долутегравир:</w:t>
      </w:r>
      <w:r w:rsidRPr="00871E30">
        <w:rPr>
          <w:rFonts w:ascii="Times New Roman" w:hAnsi="Times New Roman"/>
          <w:bCs/>
          <w:color w:val="000000"/>
          <w:sz w:val="28"/>
          <w:szCs w:val="28"/>
        </w:rPr>
        <w:t xml:space="preserve"> поскольку долутегравир прочно связывается с белками плазмы, маловероятно, что значительная часть будет удалена при диализе.</w:t>
      </w:r>
    </w:p>
    <w:p w14:paraId="683018F8" w14:textId="77777777" w:rsidR="00871E30" w:rsidRPr="00871E30" w:rsidRDefault="00871E30" w:rsidP="00871E30">
      <w:pPr>
        <w:spacing w:after="0" w:line="240" w:lineRule="auto"/>
        <w:jc w:val="both"/>
        <w:rPr>
          <w:rFonts w:ascii="Times New Roman" w:hAnsi="Times New Roman"/>
          <w:bCs/>
          <w:color w:val="000000"/>
          <w:sz w:val="28"/>
          <w:szCs w:val="28"/>
        </w:rPr>
      </w:pPr>
      <w:r w:rsidRPr="00871E30">
        <w:rPr>
          <w:rFonts w:ascii="Times New Roman" w:hAnsi="Times New Roman"/>
          <w:bCs/>
          <w:i/>
          <w:iCs/>
          <w:color w:val="000000"/>
          <w:sz w:val="28"/>
          <w:szCs w:val="28"/>
        </w:rPr>
        <w:t>Эмтрицитабин:</w:t>
      </w:r>
      <w:r w:rsidRPr="00871E30">
        <w:rPr>
          <w:rFonts w:ascii="Times New Roman" w:hAnsi="Times New Roman"/>
          <w:bCs/>
          <w:color w:val="000000"/>
          <w:sz w:val="28"/>
          <w:szCs w:val="28"/>
        </w:rPr>
        <w:t xml:space="preserve"> доступен ограниченный клинический опыт в дозах, превышающих рекомендуемую. О серьезных побочных реакциях не сообщалось. Эффекты от более высоких доз неизвестны.</w:t>
      </w:r>
    </w:p>
    <w:p w14:paraId="183AC899" w14:textId="77777777" w:rsidR="00871E30" w:rsidRPr="00871E30" w:rsidRDefault="00871E30" w:rsidP="00871E30">
      <w:pPr>
        <w:spacing w:after="0" w:line="240" w:lineRule="auto"/>
        <w:jc w:val="both"/>
        <w:rPr>
          <w:rFonts w:ascii="Times New Roman" w:hAnsi="Times New Roman"/>
          <w:bCs/>
          <w:color w:val="000000"/>
          <w:sz w:val="28"/>
          <w:szCs w:val="28"/>
        </w:rPr>
      </w:pPr>
      <w:r w:rsidRPr="00871E30">
        <w:rPr>
          <w:rFonts w:ascii="Times New Roman" w:hAnsi="Times New Roman"/>
          <w:bCs/>
          <w:color w:val="000000"/>
          <w:sz w:val="28"/>
          <w:szCs w:val="28"/>
        </w:rPr>
        <w:t>Гемодиализ удаляет примерно 30% дозы эмтрицитабина в течение 3-х часового периода диализа, начинающегося в течение 1,5 часов после введения эмтрицитабина (скорость кровотока 400 мл/мин и скорость потока диализата 600 мл/мин). Остается неизвестным о возможности удаления эмтрицитабина при помощи перитонеального диализа.</w:t>
      </w:r>
    </w:p>
    <w:p w14:paraId="222E5BA4" w14:textId="77777777" w:rsidR="00871E30" w:rsidRDefault="00871E30" w:rsidP="00871E30">
      <w:pPr>
        <w:spacing w:after="0" w:line="240" w:lineRule="auto"/>
        <w:jc w:val="both"/>
        <w:rPr>
          <w:rFonts w:ascii="Times New Roman" w:hAnsi="Times New Roman"/>
          <w:bCs/>
          <w:color w:val="000000"/>
          <w:sz w:val="28"/>
          <w:szCs w:val="28"/>
        </w:rPr>
      </w:pPr>
      <w:r w:rsidRPr="00871E30">
        <w:rPr>
          <w:rFonts w:ascii="Times New Roman" w:hAnsi="Times New Roman"/>
          <w:bCs/>
          <w:i/>
          <w:iCs/>
          <w:color w:val="000000"/>
          <w:sz w:val="28"/>
          <w:szCs w:val="28"/>
        </w:rPr>
        <w:t>Тенофовир алафенамид:</w:t>
      </w:r>
      <w:r w:rsidRPr="00871E30">
        <w:rPr>
          <w:rFonts w:ascii="Times New Roman" w:hAnsi="Times New Roman"/>
          <w:bCs/>
          <w:color w:val="000000"/>
          <w:sz w:val="28"/>
          <w:szCs w:val="28"/>
        </w:rPr>
        <w:t xml:space="preserve"> имеется ограниченный клинический опыт передозировки, превышающую рекомендуемую</w:t>
      </w:r>
      <w:r w:rsidR="003E69C9">
        <w:rPr>
          <w:rFonts w:ascii="Times New Roman" w:hAnsi="Times New Roman"/>
          <w:bCs/>
          <w:color w:val="000000"/>
          <w:sz w:val="28"/>
          <w:szCs w:val="28"/>
        </w:rPr>
        <w:t>,</w:t>
      </w:r>
      <w:r w:rsidRPr="00871E30">
        <w:rPr>
          <w:rFonts w:ascii="Times New Roman" w:hAnsi="Times New Roman"/>
          <w:bCs/>
          <w:color w:val="000000"/>
          <w:sz w:val="28"/>
          <w:szCs w:val="28"/>
        </w:rPr>
        <w:t xml:space="preserve"> о серьезных побочных реакциях не сообщалось. Эффекты от более высоких доз неизвестны. Тенофовир эффективно удаляется гемодиализом с коэффициентом экстракции примерно 54%.</w:t>
      </w:r>
    </w:p>
    <w:p w14:paraId="677E760C" w14:textId="77777777" w:rsidR="00871E30" w:rsidRPr="00844CE8" w:rsidRDefault="00871E30" w:rsidP="00871E30">
      <w:pPr>
        <w:spacing w:after="0" w:line="240" w:lineRule="auto"/>
        <w:jc w:val="both"/>
        <w:rPr>
          <w:rFonts w:ascii="Times New Roman" w:eastAsia="Times New Roman" w:hAnsi="Times New Roman"/>
          <w:b/>
          <w:i/>
          <w:sz w:val="28"/>
          <w:szCs w:val="28"/>
          <w:lang w:eastAsia="ru-RU"/>
        </w:rPr>
      </w:pPr>
      <w:r w:rsidRPr="00844CE8">
        <w:rPr>
          <w:rFonts w:ascii="Times New Roman" w:hAnsi="Times New Roman"/>
          <w:b/>
          <w:i/>
          <w:color w:val="000000"/>
          <w:sz w:val="28"/>
          <w:szCs w:val="28"/>
        </w:rPr>
        <w:t>Рекоменд</w:t>
      </w:r>
      <w:r>
        <w:rPr>
          <w:rFonts w:ascii="Times New Roman" w:hAnsi="Times New Roman"/>
          <w:b/>
          <w:i/>
          <w:color w:val="000000"/>
          <w:sz w:val="28"/>
          <w:szCs w:val="28"/>
        </w:rPr>
        <w:t>уется</w:t>
      </w:r>
      <w:r w:rsidRPr="00844CE8">
        <w:rPr>
          <w:rFonts w:ascii="Times New Roman" w:hAnsi="Times New Roman"/>
          <w:b/>
          <w:i/>
          <w:color w:val="000000"/>
          <w:sz w:val="28"/>
          <w:szCs w:val="28"/>
        </w:rPr>
        <w:t xml:space="preserve"> </w:t>
      </w:r>
      <w:r>
        <w:rPr>
          <w:rFonts w:ascii="Times New Roman" w:hAnsi="Times New Roman"/>
          <w:b/>
          <w:i/>
          <w:color w:val="000000"/>
          <w:sz w:val="28"/>
          <w:szCs w:val="28"/>
        </w:rPr>
        <w:t>обратиться</w:t>
      </w:r>
      <w:r w:rsidRPr="00844CE8">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Pr>
          <w:rFonts w:ascii="Times New Roman" w:hAnsi="Times New Roman"/>
          <w:b/>
          <w:i/>
          <w:color w:val="000000"/>
          <w:sz w:val="28"/>
          <w:szCs w:val="28"/>
        </w:rPr>
        <w:t>.</w:t>
      </w:r>
    </w:p>
    <w:bookmarkEnd w:id="16"/>
    <w:p w14:paraId="79839188" w14:textId="77777777" w:rsidR="00A12563" w:rsidRPr="004E7A03" w:rsidRDefault="00A12563" w:rsidP="00844CE8">
      <w:pPr>
        <w:spacing w:after="0" w:line="240" w:lineRule="auto"/>
        <w:jc w:val="both"/>
        <w:rPr>
          <w:rFonts w:ascii="Times New Roman" w:eastAsia="Times New Roman" w:hAnsi="Times New Roman"/>
          <w:b/>
          <w:sz w:val="28"/>
          <w:szCs w:val="28"/>
          <w:lang w:eastAsia="ru-RU"/>
        </w:rPr>
      </w:pPr>
    </w:p>
    <w:p w14:paraId="4773132E" w14:textId="77777777" w:rsidR="001937AD" w:rsidRPr="004E7A03" w:rsidRDefault="001937AD" w:rsidP="00844CE8">
      <w:pPr>
        <w:spacing w:after="0" w:line="240" w:lineRule="auto"/>
        <w:jc w:val="both"/>
        <w:rPr>
          <w:rFonts w:ascii="Times New Roman" w:hAnsi="Times New Roman"/>
          <w:b/>
          <w:sz w:val="28"/>
          <w:szCs w:val="28"/>
        </w:rPr>
      </w:pPr>
      <w:bookmarkStart w:id="17" w:name="2175220282"/>
      <w:r w:rsidRPr="004E7A03">
        <w:rPr>
          <w:rFonts w:ascii="Times New Roman" w:eastAsia="Times New Roman" w:hAnsi="Times New Roman"/>
          <w:b/>
          <w:sz w:val="28"/>
          <w:szCs w:val="28"/>
          <w:lang w:eastAsia="ru-RU"/>
        </w:rPr>
        <w:t>Описание нежелательных реакций</w:t>
      </w:r>
      <w:r w:rsidR="005C4B12" w:rsidRPr="004E7A03">
        <w:rPr>
          <w:rFonts w:ascii="Times New Roman" w:eastAsia="Times New Roman" w:hAnsi="Times New Roman"/>
          <w:b/>
          <w:sz w:val="28"/>
          <w:szCs w:val="28"/>
          <w:lang w:eastAsia="ru-RU"/>
        </w:rPr>
        <w:t xml:space="preserve">, </w:t>
      </w:r>
      <w:r w:rsidRPr="004E7A03">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17"/>
    <w:p w14:paraId="24B3A075"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 xml:space="preserve">гепатотоксичность </w:t>
      </w:r>
    </w:p>
    <w:p w14:paraId="1A1F6CB1"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гиперчувствительность</w:t>
      </w:r>
    </w:p>
    <w:p w14:paraId="42998104"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обострение гепатита В в тяжелой и острой форме</w:t>
      </w:r>
    </w:p>
    <w:p w14:paraId="15F75192"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lastRenderedPageBreak/>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 xml:space="preserve">синдром восстановления иммунитета </w:t>
      </w:r>
    </w:p>
    <w:p w14:paraId="4C00FCB8"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 xml:space="preserve">новое начало или ухудшение почечной недостаточности </w:t>
      </w:r>
    </w:p>
    <w:p w14:paraId="5CEBFEE6" w14:textId="77777777" w:rsidR="004850D4" w:rsidRPr="004E7A03" w:rsidRDefault="004850D4" w:rsidP="004850D4">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r w:rsidRPr="004E7A03">
        <w:rPr>
          <w:rFonts w:ascii="Times New Roman" w:eastAsia="Times New Roman" w:hAnsi="Times New Roman"/>
          <w:bCs/>
          <w:sz w:val="28"/>
          <w:szCs w:val="28"/>
          <w:lang w:eastAsia="ru-RU"/>
        </w:rPr>
        <w:t>лактоацидоз и тяжелая гепатомегалия со стеатозом</w:t>
      </w:r>
    </w:p>
    <w:p w14:paraId="649EB883"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Менее распространенные побочные реакции, наблюдаемые в исследованиях у пациентов, ранее не получавших терапию, и в исследованиях с опытом лечения:</w:t>
      </w:r>
      <w:r w:rsidRPr="00871E30">
        <w:rPr>
          <w:rFonts w:ascii="Times New Roman" w:hAnsi="Times New Roman"/>
          <w:color w:val="000000"/>
          <w:sz w:val="28"/>
          <w:szCs w:val="28"/>
        </w:rPr>
        <w:t xml:space="preserve"> </w:t>
      </w:r>
      <w:r w:rsidR="003E69C9" w:rsidRPr="003E69C9">
        <w:rPr>
          <w:rFonts w:ascii="Times New Roman" w:hAnsi="Times New Roman"/>
          <w:color w:val="000000"/>
          <w:sz w:val="28"/>
          <w:szCs w:val="28"/>
        </w:rPr>
        <w:t>следующие побочные реакции наблюдались менее чем у 2% пациентов, ранее не получавших лечение или с опытом лечения, принимавшие долутегравир в комбинированном режиме в любом одном исследовании. Данные события были включены по причине их серьезности и оценки потенциальной причинно-следственной связи.</w:t>
      </w:r>
    </w:p>
    <w:p w14:paraId="38195634"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Со стороны желудочно-кишечного тракта:</w:t>
      </w:r>
      <w:r w:rsidRPr="00871E30">
        <w:rPr>
          <w:rFonts w:ascii="Times New Roman" w:hAnsi="Times New Roman"/>
          <w:color w:val="000000"/>
          <w:sz w:val="28"/>
          <w:szCs w:val="28"/>
        </w:rPr>
        <w:t xml:space="preserve"> боль в животе, дискомфорт в животе, метеоризм, боль в верхней части живота, рвота.</w:t>
      </w:r>
    </w:p>
    <w:p w14:paraId="3F0CCFD9"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Со стороны печени:</w:t>
      </w:r>
      <w:r w:rsidRPr="00871E30">
        <w:rPr>
          <w:rFonts w:ascii="Times New Roman" w:hAnsi="Times New Roman"/>
          <w:color w:val="000000"/>
          <w:sz w:val="28"/>
          <w:szCs w:val="28"/>
        </w:rPr>
        <w:t xml:space="preserve"> гепатит.</w:t>
      </w:r>
    </w:p>
    <w:p w14:paraId="698E9231"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Со стороны опорно-двигательного аппарата:</w:t>
      </w:r>
      <w:r w:rsidRPr="00871E30">
        <w:rPr>
          <w:rFonts w:ascii="Times New Roman" w:hAnsi="Times New Roman"/>
          <w:color w:val="000000"/>
          <w:sz w:val="28"/>
          <w:szCs w:val="28"/>
        </w:rPr>
        <w:t xml:space="preserve"> миозит.</w:t>
      </w:r>
    </w:p>
    <w:p w14:paraId="1D8B6441"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Психические расстройства:</w:t>
      </w:r>
      <w:r w:rsidRPr="00871E30">
        <w:rPr>
          <w:rFonts w:ascii="Times New Roman" w:hAnsi="Times New Roman"/>
          <w:color w:val="000000"/>
          <w:sz w:val="28"/>
          <w:szCs w:val="28"/>
        </w:rPr>
        <w:t xml:space="preserve"> суицидальное мышление и поведение с попытками суицида, суицидальный исход. Данные события наблюдались в основном у испытуемых с имевшейся в анамнезе депрессией или другими психическими заболеваниями.</w:t>
      </w:r>
    </w:p>
    <w:p w14:paraId="0791CE29"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Со стороны почек и мочевыводящих путей:</w:t>
      </w:r>
      <w:r w:rsidRPr="00871E30">
        <w:rPr>
          <w:rFonts w:ascii="Times New Roman" w:hAnsi="Times New Roman"/>
          <w:color w:val="000000"/>
          <w:sz w:val="28"/>
          <w:szCs w:val="28"/>
        </w:rPr>
        <w:t xml:space="preserve"> почечная недостаточность.</w:t>
      </w:r>
    </w:p>
    <w:p w14:paraId="7F9EA560" w14:textId="77777777" w:rsidR="00871E30" w:rsidRPr="00871E30" w:rsidRDefault="00871E30" w:rsidP="00871E30">
      <w:pPr>
        <w:spacing w:after="0" w:line="240" w:lineRule="auto"/>
        <w:jc w:val="both"/>
        <w:rPr>
          <w:rFonts w:ascii="Times New Roman" w:hAnsi="Times New Roman"/>
          <w:color w:val="000000"/>
          <w:sz w:val="28"/>
          <w:szCs w:val="28"/>
        </w:rPr>
      </w:pPr>
      <w:r w:rsidRPr="00871E30">
        <w:rPr>
          <w:rFonts w:ascii="Times New Roman" w:hAnsi="Times New Roman"/>
          <w:i/>
          <w:iCs/>
          <w:color w:val="000000"/>
          <w:sz w:val="28"/>
          <w:szCs w:val="28"/>
        </w:rPr>
        <w:t>Со стороны кожных покровов:</w:t>
      </w:r>
      <w:r w:rsidRPr="00871E30">
        <w:rPr>
          <w:rFonts w:ascii="Times New Roman" w:hAnsi="Times New Roman"/>
          <w:color w:val="000000"/>
          <w:sz w:val="28"/>
          <w:szCs w:val="28"/>
        </w:rPr>
        <w:t xml:space="preserve"> зуд.</w:t>
      </w:r>
    </w:p>
    <w:p w14:paraId="043B53B5" w14:textId="77777777" w:rsidR="00871E30" w:rsidRPr="00871E30" w:rsidRDefault="00871E30" w:rsidP="00871E30">
      <w:pPr>
        <w:spacing w:after="0" w:line="240" w:lineRule="auto"/>
        <w:jc w:val="both"/>
        <w:rPr>
          <w:rFonts w:ascii="Times New Roman" w:hAnsi="Times New Roman"/>
          <w:sz w:val="28"/>
          <w:szCs w:val="28"/>
        </w:rPr>
      </w:pPr>
      <w:r w:rsidRPr="00871E30">
        <w:rPr>
          <w:rFonts w:ascii="Times New Roman" w:hAnsi="Times New Roman"/>
          <w:i/>
          <w:iCs/>
          <w:sz w:val="28"/>
          <w:szCs w:val="28"/>
        </w:rPr>
        <w:t>Пострегистрационное применение:</w:t>
      </w:r>
      <w:r w:rsidRPr="00871E30">
        <w:rPr>
          <w:rFonts w:ascii="Times New Roman" w:hAnsi="Times New Roman"/>
          <w:sz w:val="28"/>
          <w:szCs w:val="28"/>
        </w:rPr>
        <w:t xml:space="preserve"> в дополнение к побочным реакциям, о которых сообщалось в ходе клинических исследований, в период пострегистрационного применения были выявлены следующие побочные реакции. Поскольку данные реакции сообщаются добровольно с группы без установленного количества, не всегда можно достоверно оценить их частоту или установить причинно-следственную связь с воздействием препарата. </w:t>
      </w:r>
    </w:p>
    <w:p w14:paraId="7306F5BB" w14:textId="77777777" w:rsidR="00871E30" w:rsidRPr="00871E30" w:rsidRDefault="00871E30" w:rsidP="00871E30">
      <w:pPr>
        <w:spacing w:after="0" w:line="240" w:lineRule="auto"/>
        <w:jc w:val="both"/>
        <w:rPr>
          <w:rFonts w:ascii="Times New Roman" w:hAnsi="Times New Roman"/>
          <w:sz w:val="28"/>
          <w:szCs w:val="28"/>
        </w:rPr>
      </w:pPr>
      <w:r w:rsidRPr="00871E30">
        <w:rPr>
          <w:rFonts w:ascii="Times New Roman" w:hAnsi="Times New Roman"/>
          <w:i/>
          <w:iCs/>
          <w:sz w:val="28"/>
          <w:szCs w:val="28"/>
        </w:rPr>
        <w:t>Долутегравир</w:t>
      </w:r>
      <w:r w:rsidRPr="00871E30">
        <w:rPr>
          <w:rFonts w:ascii="Times New Roman" w:hAnsi="Times New Roman"/>
          <w:sz w:val="28"/>
          <w:szCs w:val="28"/>
        </w:rPr>
        <w:t xml:space="preserve"> </w:t>
      </w:r>
    </w:p>
    <w:p w14:paraId="6D0E02DD" w14:textId="77777777" w:rsidR="00871E30" w:rsidRPr="00871E30" w:rsidRDefault="00871E30" w:rsidP="00871E30">
      <w:pPr>
        <w:spacing w:after="0" w:line="240" w:lineRule="auto"/>
        <w:jc w:val="both"/>
        <w:rPr>
          <w:rFonts w:ascii="Times New Roman" w:hAnsi="Times New Roman"/>
          <w:sz w:val="28"/>
          <w:szCs w:val="28"/>
        </w:rPr>
      </w:pPr>
      <w:r w:rsidRPr="00871E30">
        <w:rPr>
          <w:rFonts w:ascii="Times New Roman" w:hAnsi="Times New Roman"/>
          <w:i/>
          <w:iCs/>
          <w:sz w:val="28"/>
          <w:szCs w:val="28"/>
        </w:rPr>
        <w:t>Со стороны печени:</w:t>
      </w:r>
      <w:r w:rsidRPr="00871E30">
        <w:rPr>
          <w:rFonts w:ascii="Times New Roman" w:hAnsi="Times New Roman"/>
          <w:sz w:val="28"/>
          <w:szCs w:val="28"/>
        </w:rPr>
        <w:t xml:space="preserve"> острая печеночная недостаточность, гепатотоксичность</w:t>
      </w:r>
    </w:p>
    <w:p w14:paraId="4D90C2E8" w14:textId="77777777" w:rsidR="00871E30" w:rsidRPr="00871E30" w:rsidRDefault="00871E30" w:rsidP="00871E30">
      <w:pPr>
        <w:spacing w:after="0" w:line="240" w:lineRule="auto"/>
        <w:jc w:val="both"/>
        <w:rPr>
          <w:rFonts w:ascii="Times New Roman" w:hAnsi="Times New Roman"/>
          <w:sz w:val="28"/>
          <w:szCs w:val="28"/>
        </w:rPr>
      </w:pPr>
      <w:r w:rsidRPr="00871E30">
        <w:rPr>
          <w:rFonts w:ascii="Times New Roman" w:hAnsi="Times New Roman"/>
          <w:i/>
          <w:iCs/>
          <w:sz w:val="28"/>
          <w:szCs w:val="28"/>
        </w:rPr>
        <w:t>Со стороны костно-мышечной системы:</w:t>
      </w:r>
      <w:r w:rsidRPr="00871E30">
        <w:rPr>
          <w:rFonts w:ascii="Times New Roman" w:hAnsi="Times New Roman"/>
          <w:sz w:val="28"/>
          <w:szCs w:val="28"/>
        </w:rPr>
        <w:t xml:space="preserve"> артралгия, миалгия</w:t>
      </w:r>
    </w:p>
    <w:p w14:paraId="45922A67" w14:textId="77777777" w:rsidR="00871E30" w:rsidRPr="00871E30" w:rsidRDefault="00871E30" w:rsidP="00871E30">
      <w:pPr>
        <w:spacing w:after="0" w:line="240" w:lineRule="auto"/>
        <w:jc w:val="both"/>
        <w:rPr>
          <w:rFonts w:ascii="Times New Roman" w:hAnsi="Times New Roman"/>
          <w:sz w:val="28"/>
          <w:szCs w:val="28"/>
        </w:rPr>
      </w:pPr>
      <w:r w:rsidRPr="00871E30">
        <w:rPr>
          <w:rFonts w:ascii="Times New Roman" w:hAnsi="Times New Roman"/>
          <w:i/>
          <w:iCs/>
          <w:sz w:val="28"/>
          <w:szCs w:val="28"/>
        </w:rPr>
        <w:t>Психиатрические расстройства:</w:t>
      </w:r>
      <w:r w:rsidRPr="00871E30">
        <w:rPr>
          <w:rFonts w:ascii="Times New Roman" w:hAnsi="Times New Roman"/>
          <w:sz w:val="28"/>
          <w:szCs w:val="28"/>
        </w:rPr>
        <w:t xml:space="preserve"> тревога.</w:t>
      </w:r>
    </w:p>
    <w:p w14:paraId="13718F62" w14:textId="77777777" w:rsidR="00871E30" w:rsidRDefault="00871E30" w:rsidP="00871E30">
      <w:pPr>
        <w:spacing w:after="0" w:line="240" w:lineRule="auto"/>
        <w:jc w:val="both"/>
        <w:rPr>
          <w:rFonts w:ascii="Times New Roman" w:hAnsi="Times New Roman"/>
          <w:sz w:val="24"/>
          <w:szCs w:val="24"/>
        </w:rPr>
      </w:pPr>
    </w:p>
    <w:p w14:paraId="06964D8A" w14:textId="77777777" w:rsidR="00827BB2" w:rsidRPr="004E7A03" w:rsidRDefault="00827BB2" w:rsidP="004850D4">
      <w:pPr>
        <w:spacing w:after="0" w:line="240" w:lineRule="auto"/>
        <w:jc w:val="both"/>
        <w:rPr>
          <w:rFonts w:ascii="Times New Roman" w:hAnsi="Times New Roman"/>
          <w:sz w:val="28"/>
          <w:szCs w:val="28"/>
        </w:rPr>
      </w:pPr>
      <w:r w:rsidRPr="004E7A03">
        <w:rPr>
          <w:rFonts w:ascii="Times New Roman" w:hAnsi="Times New Roman"/>
          <w:b/>
          <w:color w:val="000000"/>
          <w:sz w:val="28"/>
          <w:szCs w:val="28"/>
        </w:rPr>
        <w:t>П</w:t>
      </w:r>
      <w:r w:rsidR="00D93C80" w:rsidRPr="004E7A03">
        <w:rPr>
          <w:rFonts w:ascii="Times New Roman" w:hAnsi="Times New Roman"/>
          <w:b/>
          <w:color w:val="000000"/>
          <w:sz w:val="28"/>
          <w:szCs w:val="28"/>
        </w:rPr>
        <w:t xml:space="preserve">ри возникновении </w:t>
      </w:r>
      <w:r w:rsidR="006703A5" w:rsidRPr="004E7A03">
        <w:rPr>
          <w:rFonts w:ascii="Times New Roman" w:hAnsi="Times New Roman"/>
          <w:b/>
          <w:color w:val="000000"/>
          <w:sz w:val="28"/>
          <w:szCs w:val="28"/>
        </w:rPr>
        <w:t>нежелательных</w:t>
      </w:r>
      <w:r w:rsidR="00D93C80" w:rsidRPr="004E7A03">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4E7A03">
        <w:rPr>
          <w:rFonts w:ascii="Times New Roman" w:hAnsi="Times New Roman"/>
          <w:b/>
          <w:color w:val="000000"/>
          <w:sz w:val="28"/>
          <w:szCs w:val="28"/>
        </w:rPr>
        <w:t xml:space="preserve"> </w:t>
      </w:r>
    </w:p>
    <w:p w14:paraId="4F295DAE" w14:textId="77777777" w:rsidR="006703A5" w:rsidRPr="004E7A03" w:rsidRDefault="006703A5" w:rsidP="005779DE">
      <w:pPr>
        <w:spacing w:after="0" w:line="240" w:lineRule="auto"/>
        <w:jc w:val="both"/>
        <w:rPr>
          <w:rFonts w:ascii="Times New Roman" w:hAnsi="Times New Roman"/>
          <w:sz w:val="28"/>
          <w:szCs w:val="28"/>
        </w:rPr>
      </w:pPr>
      <w:r w:rsidRPr="004E7A03">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355BDC" w:rsidRPr="00355BDC">
        <w:rPr>
          <w:rFonts w:ascii="Times New Roman" w:hAnsi="Times New Roman"/>
          <w:sz w:val="28"/>
          <w:szCs w:val="28"/>
        </w:rPr>
        <w:t xml:space="preserve">Комитет медицинского и фармацевтического контроля </w:t>
      </w:r>
      <w:r w:rsidRPr="004E7A03">
        <w:rPr>
          <w:rFonts w:ascii="Times New Roman" w:hAnsi="Times New Roman"/>
          <w:sz w:val="28"/>
          <w:szCs w:val="28"/>
        </w:rPr>
        <w:t>Министерства здравоохранения Республики Казахстан</w:t>
      </w:r>
    </w:p>
    <w:p w14:paraId="00FBBF0C" w14:textId="77777777" w:rsidR="003E69C9" w:rsidRDefault="000A6466" w:rsidP="003E69C9">
      <w:pPr>
        <w:keepNext/>
        <w:spacing w:after="0" w:line="240" w:lineRule="auto"/>
        <w:jc w:val="both"/>
        <w:rPr>
          <w:rStyle w:val="shorttext"/>
          <w:rFonts w:ascii="Times New Roman" w:hAnsi="Times New Roman"/>
          <w:sz w:val="28"/>
          <w:szCs w:val="28"/>
        </w:rPr>
      </w:pPr>
      <w:hyperlink r:id="rId8" w:history="1">
        <w:r w:rsidR="003E69C9" w:rsidRPr="00420957">
          <w:rPr>
            <w:rStyle w:val="af"/>
            <w:rFonts w:ascii="Times New Roman" w:hAnsi="Times New Roman"/>
            <w:sz w:val="28"/>
            <w:szCs w:val="28"/>
            <w:lang w:val="en-US"/>
          </w:rPr>
          <w:t>http</w:t>
        </w:r>
        <w:r w:rsidR="003E69C9" w:rsidRPr="00420957">
          <w:rPr>
            <w:rStyle w:val="af"/>
            <w:rFonts w:ascii="Times New Roman" w:hAnsi="Times New Roman"/>
            <w:sz w:val="28"/>
            <w:szCs w:val="28"/>
          </w:rPr>
          <w:t>://</w:t>
        </w:r>
        <w:r w:rsidR="003E69C9" w:rsidRPr="00420957">
          <w:rPr>
            <w:rStyle w:val="af"/>
            <w:rFonts w:ascii="Times New Roman" w:hAnsi="Times New Roman"/>
            <w:sz w:val="28"/>
            <w:szCs w:val="28"/>
            <w:lang w:val="en-US"/>
          </w:rPr>
          <w:t>www</w:t>
        </w:r>
        <w:r w:rsidR="003E69C9" w:rsidRPr="00420957">
          <w:rPr>
            <w:rStyle w:val="af"/>
            <w:rFonts w:ascii="Times New Roman" w:hAnsi="Times New Roman"/>
            <w:sz w:val="28"/>
            <w:szCs w:val="28"/>
          </w:rPr>
          <w:t>.</w:t>
        </w:r>
        <w:r w:rsidR="003E69C9" w:rsidRPr="00420957">
          <w:rPr>
            <w:rStyle w:val="af"/>
            <w:rFonts w:ascii="Times New Roman" w:hAnsi="Times New Roman"/>
            <w:sz w:val="28"/>
            <w:szCs w:val="28"/>
            <w:lang w:val="en-US"/>
          </w:rPr>
          <w:t>ndda</w:t>
        </w:r>
        <w:r w:rsidR="003E69C9" w:rsidRPr="00420957">
          <w:rPr>
            <w:rStyle w:val="af"/>
            <w:rFonts w:ascii="Times New Roman" w:hAnsi="Times New Roman"/>
            <w:sz w:val="28"/>
            <w:szCs w:val="28"/>
          </w:rPr>
          <w:t>.</w:t>
        </w:r>
        <w:r w:rsidR="003E69C9" w:rsidRPr="00420957">
          <w:rPr>
            <w:rStyle w:val="af"/>
            <w:rFonts w:ascii="Times New Roman" w:hAnsi="Times New Roman"/>
            <w:sz w:val="28"/>
            <w:szCs w:val="28"/>
            <w:lang w:val="en-US"/>
          </w:rPr>
          <w:t>kz</w:t>
        </w:r>
        <w:r w:rsidR="003E69C9" w:rsidRPr="00420957">
          <w:rPr>
            <w:rStyle w:val="af"/>
            <w:rFonts w:ascii="Times New Roman" w:hAnsi="Times New Roman"/>
            <w:sz w:val="28"/>
            <w:szCs w:val="28"/>
          </w:rPr>
          <w:t>/</w:t>
        </w:r>
      </w:hyperlink>
    </w:p>
    <w:p w14:paraId="54DCD2E0" w14:textId="77777777" w:rsidR="003E69C9" w:rsidRDefault="003E69C9" w:rsidP="003E69C9">
      <w:pPr>
        <w:keepNext/>
        <w:spacing w:after="0" w:line="240" w:lineRule="auto"/>
        <w:jc w:val="both"/>
        <w:rPr>
          <w:rStyle w:val="shorttext"/>
          <w:rFonts w:ascii="Times New Roman" w:hAnsi="Times New Roman"/>
          <w:sz w:val="28"/>
          <w:szCs w:val="28"/>
        </w:rPr>
      </w:pPr>
    </w:p>
    <w:p w14:paraId="3692B8F6" w14:textId="77777777" w:rsidR="000C2C4B" w:rsidRPr="005319A8" w:rsidRDefault="000C2C4B" w:rsidP="003E69C9">
      <w:pPr>
        <w:keepNext/>
        <w:spacing w:after="0" w:line="240" w:lineRule="auto"/>
        <w:jc w:val="both"/>
        <w:rPr>
          <w:rFonts w:ascii="Times New Roman" w:hAnsi="Times New Roman"/>
          <w:b/>
          <w:sz w:val="28"/>
          <w:szCs w:val="28"/>
        </w:rPr>
      </w:pPr>
      <w:r w:rsidRPr="005319A8">
        <w:rPr>
          <w:rFonts w:ascii="Times New Roman" w:eastAsia="Times New Roman" w:hAnsi="Times New Roman"/>
          <w:b/>
          <w:sz w:val="28"/>
          <w:szCs w:val="28"/>
          <w:lang w:eastAsia="ru-RU"/>
        </w:rPr>
        <w:t>Дополнительные сведения</w:t>
      </w:r>
    </w:p>
    <w:p w14:paraId="35CE95A7" w14:textId="77777777" w:rsidR="006B7A90" w:rsidRPr="004E7A03" w:rsidRDefault="00844CE8" w:rsidP="00844CE8">
      <w:pPr>
        <w:spacing w:after="0" w:line="240" w:lineRule="auto"/>
        <w:jc w:val="both"/>
        <w:rPr>
          <w:rFonts w:ascii="Times New Roman" w:hAnsi="Times New Roman"/>
          <w:i/>
          <w:sz w:val="28"/>
          <w:szCs w:val="28"/>
        </w:rPr>
      </w:pPr>
      <w:bookmarkStart w:id="18" w:name="2175220285"/>
      <w:r w:rsidRPr="004E7A03">
        <w:rPr>
          <w:rFonts w:ascii="Times New Roman" w:eastAsia="Times New Roman" w:hAnsi="Times New Roman"/>
          <w:b/>
          <w:i/>
          <w:sz w:val="28"/>
          <w:szCs w:val="28"/>
          <w:lang w:eastAsia="ru-RU"/>
        </w:rPr>
        <w:t>Состав лекарственного препарата</w:t>
      </w:r>
      <w:r w:rsidR="00C379C9" w:rsidRPr="004E7A03">
        <w:rPr>
          <w:rFonts w:ascii="Times New Roman" w:eastAsia="Times New Roman" w:hAnsi="Times New Roman"/>
          <w:b/>
          <w:i/>
          <w:sz w:val="28"/>
          <w:szCs w:val="28"/>
          <w:lang w:eastAsia="ru-RU"/>
        </w:rPr>
        <w:t xml:space="preserve"> </w:t>
      </w:r>
    </w:p>
    <w:p w14:paraId="514FEACE" w14:textId="77777777" w:rsidR="006B7A90" w:rsidRPr="004E7A03"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9" w:name="2175220286"/>
      <w:bookmarkEnd w:id="18"/>
      <w:r w:rsidRPr="004E7A03">
        <w:rPr>
          <w:rFonts w:ascii="Times New Roman" w:eastAsia="Times New Roman" w:hAnsi="Times New Roman"/>
          <w:bCs/>
          <w:sz w:val="28"/>
          <w:szCs w:val="28"/>
          <w:lang w:eastAsia="ru-RU"/>
        </w:rPr>
        <w:t>Одна таблетка</w:t>
      </w:r>
      <w:r w:rsidR="004850D4" w:rsidRPr="004E7A03">
        <w:rPr>
          <w:rFonts w:ascii="Times New Roman" w:eastAsia="Times New Roman" w:hAnsi="Times New Roman"/>
          <w:bCs/>
          <w:sz w:val="28"/>
          <w:szCs w:val="28"/>
          <w:lang w:eastAsia="ru-RU"/>
        </w:rPr>
        <w:t>, покрытая пленочной оболочкой,</w:t>
      </w:r>
      <w:r w:rsidRPr="004E7A03">
        <w:rPr>
          <w:rFonts w:ascii="Times New Roman" w:eastAsia="Times New Roman" w:hAnsi="Times New Roman"/>
          <w:bCs/>
          <w:sz w:val="28"/>
          <w:szCs w:val="28"/>
          <w:lang w:eastAsia="ru-RU"/>
        </w:rPr>
        <w:t xml:space="preserve"> содержит </w:t>
      </w:r>
    </w:p>
    <w:p w14:paraId="01EFB117" w14:textId="77777777" w:rsidR="004062DD" w:rsidRDefault="006B7A90" w:rsidP="004850D4">
      <w:pPr>
        <w:widowControl w:val="0"/>
        <w:autoSpaceDE w:val="0"/>
        <w:autoSpaceDN w:val="0"/>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i/>
          <w:sz w:val="28"/>
          <w:szCs w:val="28"/>
          <w:lang w:eastAsia="ru-RU"/>
        </w:rPr>
        <w:t xml:space="preserve">активные вещества: </w:t>
      </w:r>
      <w:r w:rsidR="004850D4" w:rsidRPr="004E7A03">
        <w:rPr>
          <w:rFonts w:ascii="Times New Roman" w:eastAsia="Times New Roman" w:hAnsi="Times New Roman"/>
          <w:bCs/>
          <w:sz w:val="28"/>
          <w:szCs w:val="28"/>
          <w:lang w:eastAsia="ru-RU"/>
        </w:rPr>
        <w:t>долутегравир натрия</w:t>
      </w:r>
      <w:r w:rsidR="004062DD">
        <w:rPr>
          <w:rFonts w:ascii="Times New Roman" w:eastAsia="Times New Roman" w:hAnsi="Times New Roman"/>
          <w:bCs/>
          <w:sz w:val="28"/>
          <w:szCs w:val="28"/>
          <w:lang w:eastAsia="ru-RU"/>
        </w:rPr>
        <w:t xml:space="preserve"> </w:t>
      </w:r>
      <w:r w:rsidR="004850D4" w:rsidRPr="004E7A03">
        <w:rPr>
          <w:rFonts w:ascii="Times New Roman" w:eastAsia="Times New Roman" w:hAnsi="Times New Roman"/>
          <w:bCs/>
          <w:sz w:val="28"/>
          <w:szCs w:val="28"/>
          <w:lang w:eastAsia="ru-RU"/>
        </w:rPr>
        <w:t xml:space="preserve">эквивалентно </w:t>
      </w:r>
    </w:p>
    <w:p w14:paraId="63696112" w14:textId="77777777" w:rsidR="004850D4" w:rsidRPr="004E7A03" w:rsidRDefault="004850D4" w:rsidP="004062DD">
      <w:pPr>
        <w:widowControl w:val="0"/>
        <w:autoSpaceDE w:val="0"/>
        <w:autoSpaceDN w:val="0"/>
        <w:spacing w:after="0" w:line="240" w:lineRule="auto"/>
        <w:ind w:firstLine="2552"/>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долутегравиру 50.000 мг</w:t>
      </w:r>
      <w:r w:rsidR="00355BDC">
        <w:rPr>
          <w:rFonts w:ascii="Times New Roman" w:eastAsia="Times New Roman" w:hAnsi="Times New Roman"/>
          <w:bCs/>
          <w:sz w:val="28"/>
          <w:szCs w:val="28"/>
          <w:lang w:eastAsia="ru-RU"/>
        </w:rPr>
        <w:t>,</w:t>
      </w:r>
      <w:r w:rsidR="004062DD">
        <w:rPr>
          <w:rFonts w:ascii="Times New Roman" w:eastAsia="Times New Roman" w:hAnsi="Times New Roman"/>
          <w:bCs/>
          <w:sz w:val="28"/>
          <w:szCs w:val="28"/>
          <w:lang w:eastAsia="ru-RU"/>
        </w:rPr>
        <w:t xml:space="preserve"> </w:t>
      </w:r>
    </w:p>
    <w:p w14:paraId="5CBDE5B4" w14:textId="77777777" w:rsidR="004850D4" w:rsidRPr="004E7A03" w:rsidRDefault="00355BDC" w:rsidP="004062DD">
      <w:pPr>
        <w:widowControl w:val="0"/>
        <w:autoSpaceDE w:val="0"/>
        <w:autoSpaceDN w:val="0"/>
        <w:spacing w:after="0" w:line="240" w:lineRule="auto"/>
        <w:ind w:firstLine="2552"/>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эмтрицитабин 200.000</w:t>
      </w:r>
      <w:r w:rsidR="004850D4" w:rsidRPr="004E7A03">
        <w:rPr>
          <w:rFonts w:ascii="Times New Roman" w:eastAsia="Times New Roman" w:hAnsi="Times New Roman"/>
          <w:sz w:val="28"/>
          <w:szCs w:val="28"/>
          <w:lang w:eastAsia="ru-RU"/>
        </w:rPr>
        <w:t xml:space="preserve"> мг</w:t>
      </w:r>
      <w:r>
        <w:rPr>
          <w:rFonts w:ascii="Times New Roman" w:eastAsia="Times New Roman" w:hAnsi="Times New Roman"/>
          <w:sz w:val="28"/>
          <w:szCs w:val="28"/>
          <w:lang w:eastAsia="ru-RU"/>
        </w:rPr>
        <w:t>,</w:t>
      </w:r>
      <w:r w:rsidR="004062DD">
        <w:rPr>
          <w:rFonts w:ascii="Times New Roman" w:eastAsia="Times New Roman" w:hAnsi="Times New Roman"/>
          <w:sz w:val="28"/>
          <w:szCs w:val="28"/>
          <w:lang w:eastAsia="ru-RU"/>
        </w:rPr>
        <w:t xml:space="preserve"> </w:t>
      </w:r>
    </w:p>
    <w:p w14:paraId="7C220606" w14:textId="77777777" w:rsidR="004062DD" w:rsidRDefault="004850D4" w:rsidP="004062DD">
      <w:pPr>
        <w:widowControl w:val="0"/>
        <w:autoSpaceDE w:val="0"/>
        <w:autoSpaceDN w:val="0"/>
        <w:spacing w:after="0" w:line="240" w:lineRule="auto"/>
        <w:ind w:firstLine="2552"/>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тенофовир алафенамида фумарат</w:t>
      </w:r>
      <w:r w:rsidR="004062DD">
        <w:rPr>
          <w:rFonts w:ascii="Times New Roman" w:eastAsia="Times New Roman" w:hAnsi="Times New Roman"/>
          <w:sz w:val="28"/>
          <w:szCs w:val="28"/>
          <w:lang w:eastAsia="ru-RU"/>
        </w:rPr>
        <w:t xml:space="preserve"> </w:t>
      </w:r>
      <w:r w:rsidRPr="004E7A03">
        <w:rPr>
          <w:rFonts w:ascii="Times New Roman" w:eastAsia="Times New Roman" w:hAnsi="Times New Roman"/>
          <w:sz w:val="28"/>
          <w:szCs w:val="28"/>
          <w:lang w:eastAsia="ru-RU"/>
        </w:rPr>
        <w:t xml:space="preserve">эквивалентно </w:t>
      </w:r>
    </w:p>
    <w:p w14:paraId="404E1A00" w14:textId="77777777" w:rsidR="004850D4" w:rsidRPr="004E7A03" w:rsidRDefault="004850D4" w:rsidP="004062DD">
      <w:pPr>
        <w:widowControl w:val="0"/>
        <w:autoSpaceDE w:val="0"/>
        <w:autoSpaceDN w:val="0"/>
        <w:spacing w:after="0" w:line="240" w:lineRule="auto"/>
        <w:ind w:firstLine="2552"/>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тенофовир алафенамиду 25.000 мг.</w:t>
      </w:r>
    </w:p>
    <w:p w14:paraId="0F485BBA" w14:textId="77777777" w:rsidR="006B7A90" w:rsidRPr="004E7A03" w:rsidRDefault="006B7A90" w:rsidP="003A669F">
      <w:pPr>
        <w:spacing w:after="0" w:line="240" w:lineRule="auto"/>
        <w:jc w:val="both"/>
        <w:rPr>
          <w:rFonts w:ascii="Times New Roman" w:hAnsi="Times New Roman"/>
          <w:iCs/>
          <w:spacing w:val="-2"/>
          <w:sz w:val="28"/>
          <w:szCs w:val="28"/>
        </w:rPr>
      </w:pPr>
      <w:r w:rsidRPr="004E7A03">
        <w:rPr>
          <w:rFonts w:ascii="Times New Roman" w:hAnsi="Times New Roman"/>
          <w:i/>
          <w:iCs/>
          <w:sz w:val="28"/>
          <w:szCs w:val="28"/>
        </w:rPr>
        <w:t xml:space="preserve">вспомогательные вещества: </w:t>
      </w:r>
      <w:r w:rsidR="003A669F" w:rsidRPr="004E7A03">
        <w:rPr>
          <w:rFonts w:ascii="Times New Roman" w:hAnsi="Times New Roman"/>
          <w:iCs/>
          <w:spacing w:val="-2"/>
          <w:sz w:val="28"/>
          <w:szCs w:val="28"/>
        </w:rPr>
        <w:t>маннитол (Pearlitol 50 C),</w:t>
      </w:r>
      <w:r w:rsidR="004062DD">
        <w:rPr>
          <w:rFonts w:ascii="Times New Roman" w:hAnsi="Times New Roman"/>
          <w:iCs/>
          <w:spacing w:val="-2"/>
          <w:sz w:val="28"/>
          <w:szCs w:val="28"/>
        </w:rPr>
        <w:t xml:space="preserve"> целлюлоза микрокристаллическая</w:t>
      </w:r>
      <w:r w:rsidR="003A669F" w:rsidRPr="004E7A03">
        <w:rPr>
          <w:rFonts w:ascii="Times New Roman" w:hAnsi="Times New Roman"/>
          <w:iCs/>
          <w:spacing w:val="-2"/>
          <w:sz w:val="28"/>
          <w:szCs w:val="28"/>
        </w:rPr>
        <w:t xml:space="preserve"> (Pharmacel 101), натрия крахмалгликолят тип А (Primojel), повидон (Kollidon K 30), целлюлоза микрокристаллическая (Farmacel 102), натрия кроскармеллоза (Ac-Di-Sol), магния стеарат (Ligamed MF-2-V).</w:t>
      </w:r>
    </w:p>
    <w:p w14:paraId="65F3AD5C" w14:textId="77777777" w:rsidR="003A669F" w:rsidRPr="004E7A03" w:rsidRDefault="00480950" w:rsidP="003A669F">
      <w:pPr>
        <w:spacing w:after="0" w:line="240" w:lineRule="auto"/>
        <w:jc w:val="both"/>
        <w:rPr>
          <w:rFonts w:ascii="Times New Roman" w:hAnsi="Times New Roman"/>
          <w:i/>
          <w:spacing w:val="-2"/>
          <w:sz w:val="28"/>
          <w:szCs w:val="28"/>
        </w:rPr>
      </w:pPr>
      <w:r>
        <w:rPr>
          <w:rFonts w:ascii="Times New Roman" w:hAnsi="Times New Roman"/>
          <w:i/>
          <w:spacing w:val="-2"/>
          <w:sz w:val="28"/>
          <w:szCs w:val="28"/>
        </w:rPr>
        <w:t xml:space="preserve">Пленочное покрытие: </w:t>
      </w:r>
      <w:r w:rsidR="003A669F" w:rsidRPr="004E7A03">
        <w:rPr>
          <w:rFonts w:ascii="Times New Roman" w:hAnsi="Times New Roman"/>
          <w:iCs/>
          <w:spacing w:val="-2"/>
          <w:sz w:val="28"/>
          <w:szCs w:val="28"/>
        </w:rPr>
        <w:t>опадрай II белый 85F580019:</w:t>
      </w:r>
      <w:r w:rsidR="003A669F" w:rsidRPr="004E7A03">
        <w:rPr>
          <w:rFonts w:ascii="Times New Roman" w:hAnsi="Times New Roman"/>
          <w:i/>
          <w:spacing w:val="-2"/>
          <w:sz w:val="28"/>
          <w:szCs w:val="28"/>
        </w:rPr>
        <w:t xml:space="preserve"> </w:t>
      </w:r>
      <w:r w:rsidR="003A669F" w:rsidRPr="004E7A03">
        <w:rPr>
          <w:rFonts w:ascii="Times New Roman" w:hAnsi="Times New Roman"/>
          <w:iCs/>
          <w:spacing w:val="-2"/>
          <w:sz w:val="28"/>
          <w:szCs w:val="28"/>
        </w:rPr>
        <w:t>спирт поливиниловый частично гидролизованный (Е 1203)</w:t>
      </w:r>
      <w:r w:rsidR="003A669F" w:rsidRPr="004E7A03">
        <w:rPr>
          <w:rFonts w:ascii="Times New Roman" w:hAnsi="Times New Roman"/>
          <w:i/>
          <w:spacing w:val="-2"/>
          <w:sz w:val="28"/>
          <w:szCs w:val="28"/>
        </w:rPr>
        <w:t xml:space="preserve">, </w:t>
      </w:r>
      <w:r w:rsidR="003A669F" w:rsidRPr="004E7A03">
        <w:rPr>
          <w:rFonts w:ascii="Times New Roman" w:hAnsi="Times New Roman"/>
          <w:iCs/>
          <w:spacing w:val="-2"/>
          <w:sz w:val="28"/>
          <w:szCs w:val="28"/>
        </w:rPr>
        <w:t>тальк (Е 533b)</w:t>
      </w:r>
      <w:r w:rsidR="003A669F" w:rsidRPr="004E7A03">
        <w:rPr>
          <w:rFonts w:ascii="Times New Roman" w:hAnsi="Times New Roman"/>
          <w:i/>
          <w:spacing w:val="-2"/>
          <w:sz w:val="28"/>
          <w:szCs w:val="28"/>
        </w:rPr>
        <w:t xml:space="preserve">, </w:t>
      </w:r>
      <w:r w:rsidR="003A669F" w:rsidRPr="004E7A03">
        <w:rPr>
          <w:rFonts w:ascii="Times New Roman" w:hAnsi="Times New Roman"/>
          <w:iCs/>
          <w:spacing w:val="-2"/>
          <w:sz w:val="28"/>
          <w:szCs w:val="28"/>
        </w:rPr>
        <w:t>макрогол/полиэтиленгликоль (Е 1521)</w:t>
      </w:r>
      <w:r w:rsidR="003A669F" w:rsidRPr="004E7A03">
        <w:rPr>
          <w:rFonts w:ascii="Times New Roman" w:hAnsi="Times New Roman"/>
          <w:i/>
          <w:spacing w:val="-2"/>
          <w:sz w:val="28"/>
          <w:szCs w:val="28"/>
        </w:rPr>
        <w:t xml:space="preserve">, </w:t>
      </w:r>
      <w:r w:rsidR="003A669F" w:rsidRPr="004E7A03">
        <w:rPr>
          <w:rFonts w:ascii="Times New Roman" w:hAnsi="Times New Roman"/>
          <w:iCs/>
          <w:spacing w:val="-2"/>
          <w:sz w:val="28"/>
          <w:szCs w:val="28"/>
        </w:rPr>
        <w:t>титана диоксид (Е 171).</w:t>
      </w:r>
    </w:p>
    <w:p w14:paraId="504E8481" w14:textId="77777777" w:rsidR="00355BDC" w:rsidRDefault="006B7A90" w:rsidP="00355BDC">
      <w:pPr>
        <w:spacing w:after="0" w:line="240" w:lineRule="auto"/>
        <w:jc w:val="both"/>
        <w:rPr>
          <w:rFonts w:ascii="Times New Roman" w:eastAsia="Times New Roman" w:hAnsi="Times New Roman"/>
          <w:b/>
          <w:i/>
          <w:sz w:val="28"/>
          <w:szCs w:val="28"/>
          <w:lang w:eastAsia="ru-RU"/>
        </w:rPr>
      </w:pPr>
      <w:r w:rsidRPr="004E7A03">
        <w:rPr>
          <w:rFonts w:ascii="Times New Roman" w:eastAsia="Times New Roman" w:hAnsi="Times New Roman"/>
          <w:b/>
          <w:i/>
          <w:sz w:val="28"/>
          <w:szCs w:val="28"/>
          <w:lang w:eastAsia="ru-RU"/>
        </w:rPr>
        <w:t>Описание внешнего вида, запаха, вкуса</w:t>
      </w:r>
      <w:bookmarkEnd w:id="19"/>
    </w:p>
    <w:p w14:paraId="6F3E19C9" w14:textId="77777777" w:rsidR="004E7A03" w:rsidRDefault="004E7A03" w:rsidP="00355BDC">
      <w:pPr>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Таблетки овальной формы, покрытые пленочной оболочкой белого или почти белого цвета с оттиском «L17» на одной стороне и гладкие с другой.</w:t>
      </w:r>
    </w:p>
    <w:p w14:paraId="3C701474" w14:textId="77777777" w:rsidR="00355BDC" w:rsidRPr="00355BDC" w:rsidRDefault="00355BDC" w:rsidP="00355BDC">
      <w:pPr>
        <w:spacing w:after="0" w:line="240" w:lineRule="auto"/>
        <w:jc w:val="both"/>
        <w:rPr>
          <w:rFonts w:ascii="Times New Roman" w:eastAsia="Times New Roman" w:hAnsi="Times New Roman"/>
          <w:b/>
          <w:i/>
          <w:sz w:val="28"/>
          <w:szCs w:val="28"/>
          <w:lang w:eastAsia="ru-RU"/>
        </w:rPr>
      </w:pPr>
    </w:p>
    <w:p w14:paraId="32CD774A" w14:textId="77777777" w:rsidR="00C9308C" w:rsidRPr="004E7A03" w:rsidRDefault="00355BDC" w:rsidP="00844CE8">
      <w:pPr>
        <w:spacing w:after="0" w:line="240" w:lineRule="auto"/>
        <w:jc w:val="both"/>
        <w:rPr>
          <w:rFonts w:ascii="Times New Roman" w:eastAsia="Times New Roman" w:hAnsi="Times New Roman"/>
          <w:b/>
          <w:sz w:val="28"/>
          <w:szCs w:val="28"/>
          <w:lang w:eastAsia="ru-RU"/>
        </w:rPr>
      </w:pPr>
      <w:bookmarkStart w:id="20" w:name="2175220287"/>
      <w:r w:rsidRPr="004E7A03">
        <w:rPr>
          <w:rFonts w:ascii="Times New Roman" w:eastAsia="Times New Roman" w:hAnsi="Times New Roman"/>
          <w:b/>
          <w:sz w:val="28"/>
          <w:szCs w:val="28"/>
          <w:lang w:eastAsia="ru-RU"/>
        </w:rPr>
        <w:t>Форма выпуска и</w:t>
      </w:r>
      <w:r w:rsidR="00C9308C" w:rsidRPr="004E7A03">
        <w:rPr>
          <w:rFonts w:ascii="Times New Roman" w:eastAsia="Times New Roman" w:hAnsi="Times New Roman"/>
          <w:b/>
          <w:sz w:val="28"/>
          <w:szCs w:val="28"/>
          <w:lang w:eastAsia="ru-RU"/>
        </w:rPr>
        <w:t xml:space="preserve"> упаковка</w:t>
      </w:r>
    </w:p>
    <w:p w14:paraId="0F6620DC" w14:textId="77777777" w:rsidR="004E7A03" w:rsidRPr="004E7A03" w:rsidRDefault="004E7A03" w:rsidP="004E7A03">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По 30</w:t>
      </w:r>
      <w:r w:rsidR="00812AEF">
        <w:rPr>
          <w:rFonts w:ascii="Times New Roman" w:eastAsia="Times New Roman" w:hAnsi="Times New Roman"/>
          <w:bCs/>
          <w:sz w:val="28"/>
          <w:szCs w:val="28"/>
          <w:lang w:eastAsia="ru-RU"/>
        </w:rPr>
        <w:t>,</w:t>
      </w:r>
      <w:r w:rsidRPr="004E7A03">
        <w:rPr>
          <w:rFonts w:ascii="Times New Roman" w:eastAsia="Times New Roman" w:hAnsi="Times New Roman"/>
          <w:bCs/>
          <w:sz w:val="28"/>
          <w:szCs w:val="28"/>
          <w:lang w:eastAsia="ru-RU"/>
        </w:rPr>
        <w:t xml:space="preserve"> 90</w:t>
      </w:r>
      <w:r w:rsidR="00812AEF">
        <w:rPr>
          <w:rFonts w:ascii="Times New Roman" w:eastAsia="Times New Roman" w:hAnsi="Times New Roman"/>
          <w:bCs/>
          <w:sz w:val="28"/>
          <w:szCs w:val="28"/>
          <w:lang w:eastAsia="ru-RU"/>
        </w:rPr>
        <w:t xml:space="preserve"> или</w:t>
      </w:r>
      <w:r w:rsidRPr="004E7A03">
        <w:rPr>
          <w:rFonts w:ascii="Times New Roman" w:eastAsia="Times New Roman" w:hAnsi="Times New Roman"/>
          <w:bCs/>
          <w:sz w:val="28"/>
          <w:szCs w:val="28"/>
          <w:lang w:eastAsia="ru-RU"/>
        </w:rPr>
        <w:t xml:space="preserve"> 180 таблеток помещают в</w:t>
      </w:r>
      <w:r w:rsidR="007B3AF8">
        <w:rPr>
          <w:rFonts w:ascii="Times New Roman" w:eastAsia="Times New Roman" w:hAnsi="Times New Roman"/>
          <w:bCs/>
          <w:sz w:val="28"/>
          <w:szCs w:val="28"/>
          <w:lang w:eastAsia="ru-RU"/>
        </w:rPr>
        <w:t>о флакон из</w:t>
      </w:r>
      <w:r w:rsidRPr="004E7A03">
        <w:rPr>
          <w:rFonts w:ascii="Times New Roman" w:eastAsia="Times New Roman" w:hAnsi="Times New Roman"/>
          <w:bCs/>
          <w:sz w:val="28"/>
          <w:szCs w:val="28"/>
          <w:lang w:eastAsia="ru-RU"/>
        </w:rPr>
        <w:t xml:space="preserve"> полиэтилен</w:t>
      </w:r>
      <w:r w:rsidR="007B3AF8">
        <w:rPr>
          <w:rFonts w:ascii="Times New Roman" w:eastAsia="Times New Roman" w:hAnsi="Times New Roman"/>
          <w:bCs/>
          <w:sz w:val="28"/>
          <w:szCs w:val="28"/>
          <w:lang w:eastAsia="ru-RU"/>
        </w:rPr>
        <w:t>а</w:t>
      </w:r>
      <w:r w:rsidRPr="004E7A03">
        <w:rPr>
          <w:rFonts w:ascii="Times New Roman" w:eastAsia="Times New Roman" w:hAnsi="Times New Roman"/>
          <w:bCs/>
          <w:sz w:val="28"/>
          <w:szCs w:val="28"/>
          <w:lang w:eastAsia="ru-RU"/>
        </w:rPr>
        <w:t xml:space="preserve"> высокой плотности. Во флаконе содержится поглотитель влаги силикагель.</w:t>
      </w:r>
    </w:p>
    <w:p w14:paraId="5C075CA1" w14:textId="77777777" w:rsidR="004E7A03" w:rsidRPr="004E7A03" w:rsidRDefault="004E7A03" w:rsidP="004E7A03">
      <w:pPr>
        <w:spacing w:after="0" w:line="240" w:lineRule="auto"/>
        <w:jc w:val="both"/>
        <w:rPr>
          <w:rFonts w:ascii="Times New Roman" w:eastAsia="Times New Roman" w:hAnsi="Times New Roman"/>
          <w:bCs/>
          <w:sz w:val="28"/>
          <w:szCs w:val="28"/>
          <w:lang w:eastAsia="ru-RU"/>
        </w:rPr>
      </w:pPr>
      <w:r w:rsidRPr="004E7A03">
        <w:rPr>
          <w:rFonts w:ascii="Times New Roman" w:eastAsia="Times New Roman" w:hAnsi="Times New Roman"/>
          <w:bCs/>
          <w:sz w:val="28"/>
          <w:szCs w:val="28"/>
          <w:lang w:eastAsia="ru-RU"/>
        </w:rPr>
        <w:t xml:space="preserve">На </w:t>
      </w:r>
      <w:r w:rsidR="007B3AF8">
        <w:rPr>
          <w:rFonts w:ascii="Times New Roman" w:eastAsia="Times New Roman" w:hAnsi="Times New Roman"/>
          <w:bCs/>
          <w:sz w:val="28"/>
          <w:szCs w:val="28"/>
          <w:lang w:eastAsia="ru-RU"/>
        </w:rPr>
        <w:t>флакон</w:t>
      </w:r>
      <w:r w:rsidRPr="004E7A03">
        <w:rPr>
          <w:rFonts w:ascii="Times New Roman" w:eastAsia="Times New Roman" w:hAnsi="Times New Roman"/>
          <w:bCs/>
          <w:sz w:val="28"/>
          <w:szCs w:val="28"/>
          <w:lang w:eastAsia="ru-RU"/>
        </w:rPr>
        <w:t xml:space="preserve"> прикрепляют этикетку самоклеющуюся и инструкцию по медицинскому применению на казахском и русском языках.</w:t>
      </w:r>
    </w:p>
    <w:p w14:paraId="21797BFC" w14:textId="77777777" w:rsidR="004E7A03" w:rsidRPr="004E7A03" w:rsidRDefault="004E7A03" w:rsidP="004E7A03">
      <w:pPr>
        <w:spacing w:after="0" w:line="240" w:lineRule="auto"/>
        <w:jc w:val="both"/>
        <w:rPr>
          <w:rFonts w:ascii="Times New Roman" w:eastAsia="Times New Roman" w:hAnsi="Times New Roman"/>
          <w:bCs/>
          <w:sz w:val="28"/>
          <w:szCs w:val="28"/>
          <w:lang w:eastAsia="ru-RU"/>
        </w:rPr>
      </w:pPr>
    </w:p>
    <w:p w14:paraId="4C9630D0" w14:textId="77777777" w:rsidR="00844CE8" w:rsidRPr="004E7A03" w:rsidRDefault="00844CE8" w:rsidP="00844CE8">
      <w:pPr>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С</w:t>
      </w:r>
      <w:r w:rsidR="000E01AB" w:rsidRPr="004E7A03">
        <w:rPr>
          <w:rFonts w:ascii="Times New Roman" w:eastAsia="Times New Roman" w:hAnsi="Times New Roman"/>
          <w:b/>
          <w:sz w:val="28"/>
          <w:szCs w:val="28"/>
          <w:lang w:eastAsia="ru-RU"/>
        </w:rPr>
        <w:t xml:space="preserve">рок </w:t>
      </w:r>
      <w:r w:rsidR="006C6558" w:rsidRPr="004E7A03">
        <w:rPr>
          <w:rFonts w:ascii="Times New Roman" w:eastAsia="Times New Roman" w:hAnsi="Times New Roman"/>
          <w:b/>
          <w:sz w:val="28"/>
          <w:szCs w:val="28"/>
          <w:lang w:eastAsia="ru-RU"/>
        </w:rPr>
        <w:t>хранения</w:t>
      </w:r>
      <w:r w:rsidR="000E01AB" w:rsidRPr="004E7A03">
        <w:rPr>
          <w:rFonts w:ascii="Times New Roman" w:eastAsia="Times New Roman" w:hAnsi="Times New Roman"/>
          <w:b/>
          <w:sz w:val="28"/>
          <w:szCs w:val="28"/>
          <w:lang w:eastAsia="ru-RU"/>
        </w:rPr>
        <w:t xml:space="preserve"> </w:t>
      </w:r>
    </w:p>
    <w:p w14:paraId="38DB733B" w14:textId="77777777" w:rsidR="00D14D61" w:rsidRPr="004E7A03" w:rsidRDefault="00355BDC" w:rsidP="00844CE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года</w:t>
      </w:r>
    </w:p>
    <w:p w14:paraId="55E065D7" w14:textId="77777777" w:rsidR="000E01AB" w:rsidRPr="004E7A03" w:rsidRDefault="00D14D61" w:rsidP="00844CE8">
      <w:pPr>
        <w:spacing w:after="0" w:line="240" w:lineRule="auto"/>
        <w:jc w:val="both"/>
        <w:rPr>
          <w:rFonts w:ascii="Times New Roman" w:eastAsia="Times New Roman" w:hAnsi="Times New Roman"/>
          <w:sz w:val="28"/>
          <w:szCs w:val="28"/>
          <w:lang w:eastAsia="ru-RU"/>
        </w:rPr>
      </w:pPr>
      <w:r w:rsidRPr="004E7A03">
        <w:rPr>
          <w:rFonts w:ascii="Times New Roman" w:eastAsia="Times New Roman" w:hAnsi="Times New Roman"/>
          <w:sz w:val="28"/>
          <w:szCs w:val="28"/>
          <w:lang w:eastAsia="ru-RU"/>
        </w:rPr>
        <w:t xml:space="preserve">Не </w:t>
      </w:r>
      <w:r w:rsidR="000E01AB" w:rsidRPr="004E7A03">
        <w:rPr>
          <w:rFonts w:ascii="Times New Roman" w:eastAsia="Times New Roman" w:hAnsi="Times New Roman"/>
          <w:sz w:val="28"/>
          <w:szCs w:val="28"/>
          <w:lang w:eastAsia="ru-RU"/>
        </w:rPr>
        <w:t>примен</w:t>
      </w:r>
      <w:r w:rsidRPr="004E7A03">
        <w:rPr>
          <w:rFonts w:ascii="Times New Roman" w:eastAsia="Times New Roman" w:hAnsi="Times New Roman"/>
          <w:sz w:val="28"/>
          <w:szCs w:val="28"/>
          <w:lang w:eastAsia="ru-RU"/>
        </w:rPr>
        <w:t xml:space="preserve">ять </w:t>
      </w:r>
      <w:r w:rsidR="000E01AB" w:rsidRPr="004E7A03">
        <w:rPr>
          <w:rFonts w:ascii="Times New Roman" w:eastAsia="Times New Roman" w:hAnsi="Times New Roman"/>
          <w:sz w:val="28"/>
          <w:szCs w:val="28"/>
          <w:lang w:eastAsia="ru-RU"/>
        </w:rPr>
        <w:t>по истечении срока годности</w:t>
      </w:r>
      <w:r w:rsidRPr="004E7A03">
        <w:rPr>
          <w:rFonts w:ascii="Times New Roman" w:eastAsia="Times New Roman" w:hAnsi="Times New Roman"/>
          <w:sz w:val="28"/>
          <w:szCs w:val="28"/>
          <w:lang w:eastAsia="ru-RU"/>
        </w:rPr>
        <w:t>!</w:t>
      </w:r>
    </w:p>
    <w:p w14:paraId="1CAFC6EB" w14:textId="77777777" w:rsidR="000E01AB" w:rsidRPr="004E7A03" w:rsidRDefault="00D14D61" w:rsidP="00844CE8">
      <w:pPr>
        <w:spacing w:after="0" w:line="240" w:lineRule="auto"/>
        <w:jc w:val="both"/>
        <w:rPr>
          <w:rFonts w:ascii="Times New Roman" w:eastAsia="Times New Roman" w:hAnsi="Times New Roman"/>
          <w:b/>
          <w:i/>
          <w:sz w:val="28"/>
          <w:szCs w:val="28"/>
          <w:lang w:eastAsia="ru-RU"/>
        </w:rPr>
      </w:pPr>
      <w:bookmarkStart w:id="21" w:name="2175220288"/>
      <w:bookmarkEnd w:id="20"/>
      <w:r w:rsidRPr="004E7A03">
        <w:rPr>
          <w:rFonts w:ascii="Times New Roman" w:eastAsia="Times New Roman" w:hAnsi="Times New Roman"/>
          <w:b/>
          <w:i/>
          <w:sz w:val="28"/>
          <w:szCs w:val="28"/>
          <w:lang w:eastAsia="ru-RU"/>
        </w:rPr>
        <w:t>Условия хранения</w:t>
      </w:r>
    </w:p>
    <w:p w14:paraId="1E6EE8BC" w14:textId="77777777" w:rsidR="00355BDC" w:rsidRDefault="00355BDC" w:rsidP="00355BDC">
      <w:pPr>
        <w:spacing w:after="0" w:line="240" w:lineRule="auto"/>
        <w:jc w:val="both"/>
        <w:rPr>
          <w:rFonts w:ascii="Times New Roman" w:hAnsi="Times New Roman"/>
          <w:sz w:val="28"/>
          <w:szCs w:val="28"/>
        </w:rPr>
      </w:pPr>
      <w:r w:rsidRPr="00355BDC">
        <w:rPr>
          <w:rFonts w:ascii="Times New Roman" w:hAnsi="Times New Roman"/>
          <w:sz w:val="28"/>
          <w:szCs w:val="28"/>
        </w:rPr>
        <w:t>Хранить при температуре не выше 30</w:t>
      </w:r>
      <w:r w:rsidR="00480950">
        <w:rPr>
          <w:rFonts w:ascii="Times New Roman" w:hAnsi="Times New Roman"/>
          <w:sz w:val="28"/>
          <w:szCs w:val="28"/>
        </w:rPr>
        <w:t xml:space="preserve"> </w:t>
      </w:r>
      <w:r w:rsidRPr="00355BDC">
        <w:rPr>
          <w:rFonts w:ascii="Times New Roman" w:hAnsi="Times New Roman"/>
          <w:sz w:val="28"/>
          <w:szCs w:val="28"/>
        </w:rPr>
        <w:t>°С.</w:t>
      </w:r>
    </w:p>
    <w:p w14:paraId="1FE33317" w14:textId="77777777" w:rsidR="00812AEF" w:rsidRPr="00355BDC" w:rsidRDefault="00812AEF" w:rsidP="00355BDC">
      <w:pPr>
        <w:spacing w:after="0" w:line="240" w:lineRule="auto"/>
        <w:jc w:val="both"/>
        <w:rPr>
          <w:rFonts w:ascii="Times New Roman" w:hAnsi="Times New Roman"/>
          <w:sz w:val="28"/>
          <w:szCs w:val="28"/>
        </w:rPr>
      </w:pPr>
      <w:r w:rsidRPr="00812AEF">
        <w:rPr>
          <w:rFonts w:ascii="Times New Roman" w:hAnsi="Times New Roman"/>
          <w:sz w:val="28"/>
          <w:szCs w:val="28"/>
        </w:rPr>
        <w:t xml:space="preserve">После первого вскрытия флакона хранить при температуре не выше 30 °С не более </w:t>
      </w:r>
      <w:r>
        <w:rPr>
          <w:rFonts w:ascii="Times New Roman" w:hAnsi="Times New Roman"/>
          <w:sz w:val="28"/>
          <w:szCs w:val="28"/>
        </w:rPr>
        <w:t>6</w:t>
      </w:r>
      <w:r w:rsidRPr="00812AEF">
        <w:rPr>
          <w:rFonts w:ascii="Times New Roman" w:hAnsi="Times New Roman"/>
          <w:sz w:val="28"/>
          <w:szCs w:val="28"/>
        </w:rPr>
        <w:t xml:space="preserve"> месяцев.</w:t>
      </w:r>
    </w:p>
    <w:p w14:paraId="6A2BB512" w14:textId="77777777" w:rsidR="006B7A90" w:rsidRDefault="00D14D61" w:rsidP="00896DA5">
      <w:pPr>
        <w:spacing w:after="0" w:line="240" w:lineRule="auto"/>
        <w:jc w:val="both"/>
        <w:rPr>
          <w:rFonts w:ascii="Times New Roman" w:hAnsi="Times New Roman"/>
          <w:sz w:val="28"/>
          <w:szCs w:val="28"/>
        </w:rPr>
      </w:pPr>
      <w:r w:rsidRPr="004E7A03">
        <w:rPr>
          <w:rFonts w:ascii="Times New Roman" w:hAnsi="Times New Roman"/>
          <w:sz w:val="28"/>
          <w:szCs w:val="28"/>
        </w:rPr>
        <w:t xml:space="preserve">Хранить в недоступном для детей месте! </w:t>
      </w:r>
      <w:bookmarkEnd w:id="21"/>
    </w:p>
    <w:p w14:paraId="29CE6AD4" w14:textId="77777777" w:rsidR="00896DA5" w:rsidRPr="00896DA5" w:rsidRDefault="00896DA5" w:rsidP="00896DA5">
      <w:pPr>
        <w:spacing w:after="0" w:line="240" w:lineRule="auto"/>
        <w:jc w:val="both"/>
        <w:rPr>
          <w:rFonts w:ascii="Times New Roman" w:hAnsi="Times New Roman"/>
          <w:sz w:val="28"/>
          <w:szCs w:val="28"/>
        </w:rPr>
      </w:pPr>
    </w:p>
    <w:p w14:paraId="6EE50115" w14:textId="77777777" w:rsidR="006C6558" w:rsidRDefault="006C6558" w:rsidP="00844CE8">
      <w:pPr>
        <w:spacing w:after="0" w:line="240" w:lineRule="auto"/>
        <w:jc w:val="both"/>
        <w:rPr>
          <w:rFonts w:ascii="Times New Roman" w:hAnsi="Times New Roman"/>
          <w:color w:val="000000"/>
          <w:sz w:val="28"/>
          <w:szCs w:val="28"/>
        </w:rPr>
      </w:pPr>
      <w:r w:rsidRPr="004E7A03">
        <w:rPr>
          <w:rFonts w:ascii="Times New Roman" w:hAnsi="Times New Roman"/>
          <w:b/>
          <w:color w:val="000000"/>
          <w:sz w:val="28"/>
          <w:szCs w:val="28"/>
        </w:rPr>
        <w:t xml:space="preserve">Условия отпуска из аптек </w:t>
      </w:r>
    </w:p>
    <w:p w14:paraId="62677A10" w14:textId="77777777" w:rsidR="008351E8" w:rsidRPr="004E7A03" w:rsidRDefault="008351E8" w:rsidP="00844CE8">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По рецепту</w:t>
      </w:r>
    </w:p>
    <w:p w14:paraId="36C2A655" w14:textId="77777777" w:rsidR="006C6558" w:rsidRPr="004E7A03" w:rsidRDefault="006C6558" w:rsidP="00844CE8">
      <w:pPr>
        <w:spacing w:after="0" w:line="240" w:lineRule="auto"/>
        <w:jc w:val="both"/>
        <w:rPr>
          <w:rFonts w:ascii="Times New Roman" w:eastAsia="Times New Roman" w:hAnsi="Times New Roman"/>
          <w:b/>
          <w:sz w:val="28"/>
          <w:szCs w:val="28"/>
          <w:lang w:eastAsia="ru-RU"/>
        </w:rPr>
      </w:pPr>
    </w:p>
    <w:p w14:paraId="6473E1A5" w14:textId="77777777" w:rsidR="006B7A90" w:rsidRPr="004E7A03" w:rsidRDefault="007C1693" w:rsidP="00844CE8">
      <w:pPr>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eastAsia="ru-RU"/>
        </w:rPr>
        <w:t xml:space="preserve">Сведения о производителе </w:t>
      </w:r>
    </w:p>
    <w:p w14:paraId="4CA45DD1" w14:textId="77777777" w:rsidR="00896DA5" w:rsidRPr="004062DD" w:rsidRDefault="00896DA5" w:rsidP="00896DA5">
      <w:pPr>
        <w:autoSpaceDE w:val="0"/>
        <w:autoSpaceDN w:val="0"/>
        <w:spacing w:after="0" w:line="240" w:lineRule="auto"/>
        <w:jc w:val="both"/>
        <w:rPr>
          <w:rFonts w:ascii="Times New Roman" w:hAnsi="Times New Roman"/>
          <w:color w:val="000000"/>
          <w:sz w:val="28"/>
          <w:szCs w:val="28"/>
        </w:rPr>
      </w:pPr>
      <w:r w:rsidRPr="00896DA5">
        <w:rPr>
          <w:rFonts w:ascii="Times New Roman" w:hAnsi="Times New Roman"/>
          <w:color w:val="000000"/>
          <w:sz w:val="28"/>
          <w:szCs w:val="28"/>
          <w:lang w:val="en-US"/>
        </w:rPr>
        <w:t>Laurus</w:t>
      </w:r>
      <w:r w:rsidRPr="004062DD">
        <w:rPr>
          <w:rFonts w:ascii="Times New Roman" w:hAnsi="Times New Roman"/>
          <w:color w:val="000000"/>
          <w:sz w:val="28"/>
          <w:szCs w:val="28"/>
        </w:rPr>
        <w:t xml:space="preserve"> </w:t>
      </w:r>
      <w:r w:rsidRPr="00896DA5">
        <w:rPr>
          <w:rFonts w:ascii="Times New Roman" w:hAnsi="Times New Roman"/>
          <w:color w:val="000000"/>
          <w:sz w:val="28"/>
          <w:szCs w:val="28"/>
          <w:lang w:val="en-US"/>
        </w:rPr>
        <w:t>Labs</w:t>
      </w:r>
      <w:r w:rsidRPr="004062DD">
        <w:rPr>
          <w:rFonts w:ascii="Times New Roman" w:hAnsi="Times New Roman"/>
          <w:color w:val="000000"/>
          <w:sz w:val="28"/>
          <w:szCs w:val="28"/>
        </w:rPr>
        <w:t xml:space="preserve"> </w:t>
      </w:r>
      <w:r w:rsidRPr="00896DA5">
        <w:rPr>
          <w:rFonts w:ascii="Times New Roman" w:hAnsi="Times New Roman"/>
          <w:color w:val="000000"/>
          <w:sz w:val="28"/>
          <w:szCs w:val="28"/>
          <w:lang w:val="en-US"/>
        </w:rPr>
        <w:t>Limited</w:t>
      </w:r>
      <w:r w:rsidRPr="004062DD">
        <w:rPr>
          <w:rFonts w:ascii="Times New Roman" w:hAnsi="Times New Roman"/>
          <w:color w:val="000000"/>
          <w:sz w:val="28"/>
          <w:szCs w:val="28"/>
        </w:rPr>
        <w:t>,</w:t>
      </w:r>
    </w:p>
    <w:p w14:paraId="58B003D3" w14:textId="77777777" w:rsidR="00896DA5" w:rsidRPr="00896DA5" w:rsidRDefault="00896DA5" w:rsidP="00896DA5">
      <w:pPr>
        <w:autoSpaceDE w:val="0"/>
        <w:autoSpaceDN w:val="0"/>
        <w:spacing w:after="0" w:line="240" w:lineRule="auto"/>
        <w:jc w:val="both"/>
        <w:rPr>
          <w:rFonts w:ascii="Times New Roman" w:hAnsi="Times New Roman"/>
          <w:color w:val="000000"/>
          <w:sz w:val="28"/>
          <w:szCs w:val="28"/>
          <w:lang w:val="en-US"/>
        </w:rPr>
      </w:pPr>
      <w:r w:rsidRPr="00896DA5">
        <w:rPr>
          <w:rFonts w:ascii="Times New Roman" w:hAnsi="Times New Roman"/>
          <w:color w:val="000000"/>
          <w:sz w:val="28"/>
          <w:szCs w:val="28"/>
          <w:lang w:val="en-US"/>
        </w:rPr>
        <w:t>(Unit-II), Plot No. 19, 20 &amp; 21, Western Sector, APSEZ,</w:t>
      </w:r>
    </w:p>
    <w:p w14:paraId="738F9AE1" w14:textId="77777777" w:rsidR="00896DA5" w:rsidRPr="00896DA5" w:rsidRDefault="00896DA5" w:rsidP="00896DA5">
      <w:pPr>
        <w:autoSpaceDE w:val="0"/>
        <w:autoSpaceDN w:val="0"/>
        <w:spacing w:after="0" w:line="240" w:lineRule="auto"/>
        <w:jc w:val="both"/>
        <w:rPr>
          <w:rFonts w:ascii="Times New Roman" w:hAnsi="Times New Roman"/>
          <w:color w:val="000000"/>
          <w:sz w:val="28"/>
          <w:szCs w:val="28"/>
          <w:lang w:val="en-US"/>
        </w:rPr>
      </w:pPr>
      <w:r w:rsidRPr="00896DA5">
        <w:rPr>
          <w:rFonts w:ascii="Times New Roman" w:hAnsi="Times New Roman"/>
          <w:color w:val="000000"/>
          <w:sz w:val="28"/>
          <w:szCs w:val="28"/>
          <w:lang w:val="en-US"/>
        </w:rPr>
        <w:t>Atchutapuram Mandal, Visakhapatnam District-531011,</w:t>
      </w:r>
    </w:p>
    <w:p w14:paraId="673592C9" w14:textId="77777777" w:rsidR="00896DA5" w:rsidRPr="00896DA5" w:rsidRDefault="00896DA5" w:rsidP="00896DA5">
      <w:pPr>
        <w:autoSpaceDE w:val="0"/>
        <w:autoSpaceDN w:val="0"/>
        <w:spacing w:after="0" w:line="240" w:lineRule="auto"/>
        <w:jc w:val="both"/>
        <w:rPr>
          <w:rFonts w:ascii="Times New Roman" w:hAnsi="Times New Roman"/>
          <w:color w:val="000000"/>
          <w:sz w:val="28"/>
          <w:szCs w:val="28"/>
          <w:lang w:val="en-US"/>
        </w:rPr>
      </w:pPr>
      <w:r w:rsidRPr="00896DA5">
        <w:rPr>
          <w:rFonts w:ascii="Times New Roman" w:hAnsi="Times New Roman"/>
          <w:color w:val="000000"/>
          <w:sz w:val="28"/>
          <w:szCs w:val="28"/>
          <w:lang w:val="en-US"/>
        </w:rPr>
        <w:t>Andhra Pradesh, Индия.</w:t>
      </w:r>
    </w:p>
    <w:p w14:paraId="0D4D1C56" w14:textId="77777777" w:rsidR="00896DA5" w:rsidRPr="00896DA5" w:rsidRDefault="00896DA5" w:rsidP="00896DA5">
      <w:pPr>
        <w:autoSpaceDE w:val="0"/>
        <w:autoSpaceDN w:val="0"/>
        <w:spacing w:after="0" w:line="240" w:lineRule="auto"/>
        <w:jc w:val="both"/>
        <w:rPr>
          <w:rFonts w:ascii="Times New Roman" w:hAnsi="Times New Roman"/>
          <w:color w:val="000000"/>
          <w:sz w:val="28"/>
          <w:szCs w:val="28"/>
        </w:rPr>
      </w:pPr>
      <w:r w:rsidRPr="00896DA5">
        <w:rPr>
          <w:rFonts w:ascii="Times New Roman" w:hAnsi="Times New Roman"/>
          <w:color w:val="000000"/>
          <w:sz w:val="28"/>
          <w:szCs w:val="28"/>
        </w:rPr>
        <w:lastRenderedPageBreak/>
        <w:t>Тел.</w:t>
      </w:r>
      <w:r w:rsidR="00480950">
        <w:rPr>
          <w:rFonts w:ascii="Times New Roman" w:hAnsi="Times New Roman"/>
          <w:color w:val="000000"/>
          <w:sz w:val="28"/>
          <w:szCs w:val="28"/>
        </w:rPr>
        <w:t>:</w:t>
      </w:r>
      <w:r w:rsidRPr="00896DA5">
        <w:rPr>
          <w:rFonts w:ascii="Times New Roman" w:hAnsi="Times New Roman"/>
          <w:color w:val="000000"/>
          <w:sz w:val="28"/>
          <w:szCs w:val="28"/>
        </w:rPr>
        <w:t xml:space="preserve"> +914039804333/23420500/501, </w:t>
      </w:r>
    </w:p>
    <w:p w14:paraId="6244D79F" w14:textId="77777777" w:rsidR="00896DA5" w:rsidRPr="00896DA5" w:rsidRDefault="00896DA5" w:rsidP="00896DA5">
      <w:pPr>
        <w:autoSpaceDE w:val="0"/>
        <w:autoSpaceDN w:val="0"/>
        <w:spacing w:after="0" w:line="240" w:lineRule="auto"/>
        <w:jc w:val="both"/>
        <w:rPr>
          <w:rFonts w:ascii="Times New Roman" w:hAnsi="Times New Roman"/>
          <w:color w:val="000000"/>
          <w:sz w:val="28"/>
          <w:szCs w:val="28"/>
        </w:rPr>
      </w:pPr>
      <w:r w:rsidRPr="00896DA5">
        <w:rPr>
          <w:rFonts w:ascii="Times New Roman" w:hAnsi="Times New Roman"/>
          <w:color w:val="000000"/>
          <w:sz w:val="28"/>
          <w:szCs w:val="28"/>
        </w:rPr>
        <w:t>электронный адрес</w:t>
      </w:r>
      <w:r w:rsidR="00480950">
        <w:rPr>
          <w:rFonts w:ascii="Times New Roman" w:hAnsi="Times New Roman"/>
          <w:color w:val="000000"/>
          <w:sz w:val="28"/>
          <w:szCs w:val="28"/>
        </w:rPr>
        <w:t>:</w:t>
      </w:r>
      <w:r w:rsidRPr="00896DA5">
        <w:rPr>
          <w:rFonts w:ascii="Times New Roman" w:hAnsi="Times New Roman"/>
          <w:color w:val="000000"/>
          <w:sz w:val="28"/>
          <w:szCs w:val="28"/>
        </w:rPr>
        <w:t xml:space="preserve"> </w:t>
      </w:r>
      <w:hyperlink r:id="rId9" w:history="1">
        <w:r w:rsidRPr="00420957">
          <w:rPr>
            <w:rStyle w:val="af"/>
            <w:rFonts w:ascii="Times New Roman" w:hAnsi="Times New Roman"/>
            <w:sz w:val="28"/>
            <w:szCs w:val="28"/>
            <w:lang w:val="en-US"/>
          </w:rPr>
          <w:t>info</w:t>
        </w:r>
        <w:r w:rsidRPr="00420957">
          <w:rPr>
            <w:rStyle w:val="af"/>
            <w:rFonts w:ascii="Times New Roman" w:hAnsi="Times New Roman"/>
            <w:sz w:val="28"/>
            <w:szCs w:val="28"/>
          </w:rPr>
          <w:t>@</w:t>
        </w:r>
        <w:r w:rsidRPr="00420957">
          <w:rPr>
            <w:rStyle w:val="af"/>
            <w:rFonts w:ascii="Times New Roman" w:hAnsi="Times New Roman"/>
            <w:sz w:val="28"/>
            <w:szCs w:val="28"/>
            <w:lang w:val="en-US"/>
          </w:rPr>
          <w:t>lauruslabs</w:t>
        </w:r>
        <w:r w:rsidRPr="00420957">
          <w:rPr>
            <w:rStyle w:val="af"/>
            <w:rFonts w:ascii="Times New Roman" w:hAnsi="Times New Roman"/>
            <w:sz w:val="28"/>
            <w:szCs w:val="28"/>
          </w:rPr>
          <w:t>.</w:t>
        </w:r>
        <w:r w:rsidRPr="00420957">
          <w:rPr>
            <w:rStyle w:val="af"/>
            <w:rFonts w:ascii="Times New Roman" w:hAnsi="Times New Roman"/>
            <w:sz w:val="28"/>
            <w:szCs w:val="28"/>
            <w:lang w:val="en-US"/>
          </w:rPr>
          <w:t>com</w:t>
        </w:r>
      </w:hyperlink>
    </w:p>
    <w:p w14:paraId="0610DA70" w14:textId="77777777" w:rsidR="00480950" w:rsidRDefault="00480950" w:rsidP="00896DA5">
      <w:pPr>
        <w:autoSpaceDE w:val="0"/>
        <w:autoSpaceDN w:val="0"/>
        <w:spacing w:after="0" w:line="240" w:lineRule="auto"/>
        <w:jc w:val="both"/>
        <w:rPr>
          <w:rFonts w:ascii="Times New Roman" w:eastAsia="Times New Roman" w:hAnsi="Times New Roman"/>
          <w:b/>
          <w:sz w:val="28"/>
          <w:szCs w:val="28"/>
          <w:lang w:eastAsia="ru-RU"/>
        </w:rPr>
      </w:pPr>
    </w:p>
    <w:p w14:paraId="4F98AED6" w14:textId="77777777" w:rsidR="00D76048" w:rsidRPr="008351E8" w:rsidRDefault="005A3C81" w:rsidP="00896DA5">
      <w:pPr>
        <w:autoSpaceDE w:val="0"/>
        <w:autoSpaceDN w:val="0"/>
        <w:spacing w:after="0" w:line="240" w:lineRule="auto"/>
        <w:jc w:val="both"/>
        <w:rPr>
          <w:rFonts w:ascii="Times New Roman" w:eastAsia="Times New Roman" w:hAnsi="Times New Roman"/>
          <w:b/>
          <w:sz w:val="28"/>
          <w:szCs w:val="28"/>
          <w:lang w:eastAsia="ru-RU"/>
        </w:rPr>
      </w:pPr>
      <w:r w:rsidRPr="004E7A03">
        <w:rPr>
          <w:rFonts w:ascii="Times New Roman" w:eastAsia="Times New Roman" w:hAnsi="Times New Roman"/>
          <w:b/>
          <w:sz w:val="28"/>
          <w:szCs w:val="28"/>
          <w:lang w:val="uk-UA" w:eastAsia="ru-RU"/>
        </w:rPr>
        <w:t>Держатель</w:t>
      </w:r>
      <w:r w:rsidR="00D76048" w:rsidRPr="008351E8">
        <w:rPr>
          <w:rFonts w:ascii="Times New Roman" w:eastAsia="Times New Roman" w:hAnsi="Times New Roman"/>
          <w:b/>
          <w:sz w:val="28"/>
          <w:szCs w:val="28"/>
          <w:lang w:eastAsia="ru-RU"/>
        </w:rPr>
        <w:t xml:space="preserve"> </w:t>
      </w:r>
      <w:r w:rsidR="00D76048" w:rsidRPr="004E7A03">
        <w:rPr>
          <w:rFonts w:ascii="Times New Roman" w:eastAsia="Times New Roman" w:hAnsi="Times New Roman"/>
          <w:b/>
          <w:sz w:val="28"/>
          <w:szCs w:val="28"/>
          <w:lang w:eastAsia="ru-RU"/>
        </w:rPr>
        <w:t>регистрационного</w:t>
      </w:r>
      <w:r w:rsidR="00D76048" w:rsidRPr="008351E8">
        <w:rPr>
          <w:rFonts w:ascii="Times New Roman" w:eastAsia="Times New Roman" w:hAnsi="Times New Roman"/>
          <w:b/>
          <w:sz w:val="28"/>
          <w:szCs w:val="28"/>
          <w:lang w:eastAsia="ru-RU"/>
        </w:rPr>
        <w:t xml:space="preserve"> </w:t>
      </w:r>
      <w:r w:rsidR="00D76048" w:rsidRPr="004E7A03">
        <w:rPr>
          <w:rFonts w:ascii="Times New Roman" w:eastAsia="Times New Roman" w:hAnsi="Times New Roman"/>
          <w:b/>
          <w:sz w:val="28"/>
          <w:szCs w:val="28"/>
          <w:lang w:eastAsia="ru-RU"/>
        </w:rPr>
        <w:t>удостоверения</w:t>
      </w:r>
    </w:p>
    <w:p w14:paraId="2F7831C4" w14:textId="77777777" w:rsidR="00896DA5" w:rsidRPr="004062DD" w:rsidRDefault="00896DA5" w:rsidP="00896DA5">
      <w:pPr>
        <w:pStyle w:val="ConsPlusNormal"/>
        <w:jc w:val="both"/>
        <w:rPr>
          <w:color w:val="000000"/>
          <w:sz w:val="28"/>
          <w:szCs w:val="28"/>
        </w:rPr>
      </w:pPr>
      <w:r w:rsidRPr="00896DA5">
        <w:rPr>
          <w:color w:val="000000"/>
          <w:sz w:val="28"/>
          <w:szCs w:val="28"/>
          <w:lang w:val="en-US"/>
        </w:rPr>
        <w:t>Laurus</w:t>
      </w:r>
      <w:r w:rsidRPr="004062DD">
        <w:rPr>
          <w:color w:val="000000"/>
          <w:sz w:val="28"/>
          <w:szCs w:val="28"/>
        </w:rPr>
        <w:t xml:space="preserve"> </w:t>
      </w:r>
      <w:r w:rsidRPr="00896DA5">
        <w:rPr>
          <w:color w:val="000000"/>
          <w:sz w:val="28"/>
          <w:szCs w:val="28"/>
          <w:lang w:val="en-US"/>
        </w:rPr>
        <w:t>Labs</w:t>
      </w:r>
      <w:r w:rsidRPr="004062DD">
        <w:rPr>
          <w:color w:val="000000"/>
          <w:sz w:val="28"/>
          <w:szCs w:val="28"/>
        </w:rPr>
        <w:t xml:space="preserve"> </w:t>
      </w:r>
      <w:r w:rsidRPr="00896DA5">
        <w:rPr>
          <w:color w:val="000000"/>
          <w:sz w:val="28"/>
          <w:szCs w:val="28"/>
          <w:lang w:val="en-US"/>
        </w:rPr>
        <w:t>Limited</w:t>
      </w:r>
      <w:r w:rsidRPr="004062DD">
        <w:rPr>
          <w:color w:val="000000"/>
          <w:sz w:val="28"/>
          <w:szCs w:val="28"/>
        </w:rPr>
        <w:t>,</w:t>
      </w:r>
    </w:p>
    <w:p w14:paraId="311A06DE" w14:textId="77777777" w:rsidR="00896DA5" w:rsidRPr="00896DA5" w:rsidRDefault="00896DA5" w:rsidP="00896DA5">
      <w:pPr>
        <w:pStyle w:val="ConsPlusNormal"/>
        <w:jc w:val="both"/>
        <w:rPr>
          <w:color w:val="000000"/>
          <w:sz w:val="28"/>
          <w:szCs w:val="28"/>
          <w:lang w:val="en-US"/>
        </w:rPr>
      </w:pPr>
      <w:r w:rsidRPr="00896DA5">
        <w:rPr>
          <w:color w:val="000000"/>
          <w:sz w:val="28"/>
          <w:szCs w:val="28"/>
          <w:lang w:val="en-US"/>
        </w:rPr>
        <w:t>(Unit-II), Plot No. 19, 20 &amp; 21, Western Sector, APSEZ,</w:t>
      </w:r>
    </w:p>
    <w:p w14:paraId="4E86443F" w14:textId="77777777" w:rsidR="00896DA5" w:rsidRPr="00896DA5" w:rsidRDefault="00896DA5" w:rsidP="00896DA5">
      <w:pPr>
        <w:pStyle w:val="ConsPlusNormal"/>
        <w:jc w:val="both"/>
        <w:rPr>
          <w:color w:val="000000"/>
          <w:sz w:val="28"/>
          <w:szCs w:val="28"/>
          <w:lang w:val="en-US"/>
        </w:rPr>
      </w:pPr>
      <w:r w:rsidRPr="00896DA5">
        <w:rPr>
          <w:color w:val="000000"/>
          <w:sz w:val="28"/>
          <w:szCs w:val="28"/>
          <w:lang w:val="en-US"/>
        </w:rPr>
        <w:t>Atchutapuram Mandal, Visakhapatnam District-531011,</w:t>
      </w:r>
    </w:p>
    <w:p w14:paraId="0FF4F750" w14:textId="77777777" w:rsidR="00896DA5" w:rsidRPr="00896DA5" w:rsidRDefault="00896DA5" w:rsidP="00896DA5">
      <w:pPr>
        <w:pStyle w:val="ConsPlusNormal"/>
        <w:jc w:val="both"/>
        <w:rPr>
          <w:color w:val="000000"/>
          <w:sz w:val="28"/>
          <w:szCs w:val="28"/>
          <w:lang w:val="en-US"/>
        </w:rPr>
      </w:pPr>
      <w:r w:rsidRPr="00896DA5">
        <w:rPr>
          <w:color w:val="000000"/>
          <w:sz w:val="28"/>
          <w:szCs w:val="28"/>
          <w:lang w:val="en-US"/>
        </w:rPr>
        <w:t xml:space="preserve">Andhra Pradesh, </w:t>
      </w:r>
      <w:r w:rsidRPr="00896DA5">
        <w:rPr>
          <w:color w:val="000000"/>
          <w:sz w:val="28"/>
          <w:szCs w:val="28"/>
        </w:rPr>
        <w:t>Индия</w:t>
      </w:r>
      <w:r w:rsidRPr="00896DA5">
        <w:rPr>
          <w:color w:val="000000"/>
          <w:sz w:val="28"/>
          <w:szCs w:val="28"/>
          <w:lang w:val="en-US"/>
        </w:rPr>
        <w:t>.</w:t>
      </w:r>
    </w:p>
    <w:p w14:paraId="43C0640C" w14:textId="77777777" w:rsidR="00896DA5" w:rsidRPr="00896DA5" w:rsidRDefault="00896DA5" w:rsidP="00896DA5">
      <w:pPr>
        <w:pStyle w:val="ConsPlusNormal"/>
        <w:jc w:val="both"/>
        <w:rPr>
          <w:color w:val="000000"/>
          <w:sz w:val="28"/>
          <w:szCs w:val="28"/>
        </w:rPr>
      </w:pPr>
      <w:r w:rsidRPr="00896DA5">
        <w:rPr>
          <w:color w:val="000000"/>
          <w:sz w:val="28"/>
          <w:szCs w:val="28"/>
        </w:rPr>
        <w:t>Тел.</w:t>
      </w:r>
      <w:r w:rsidR="00480950">
        <w:rPr>
          <w:color w:val="000000"/>
          <w:sz w:val="28"/>
          <w:szCs w:val="28"/>
        </w:rPr>
        <w:t>:</w:t>
      </w:r>
      <w:r w:rsidRPr="00896DA5">
        <w:rPr>
          <w:color w:val="000000"/>
          <w:sz w:val="28"/>
          <w:szCs w:val="28"/>
        </w:rPr>
        <w:t xml:space="preserve"> +914039804333/23420500/501, </w:t>
      </w:r>
    </w:p>
    <w:p w14:paraId="46CAEBBD" w14:textId="77777777" w:rsidR="005B2AA3" w:rsidRDefault="00896DA5" w:rsidP="00896DA5">
      <w:pPr>
        <w:pStyle w:val="ConsPlusNormal"/>
        <w:jc w:val="both"/>
        <w:rPr>
          <w:color w:val="000000"/>
          <w:sz w:val="28"/>
          <w:szCs w:val="28"/>
        </w:rPr>
      </w:pPr>
      <w:r w:rsidRPr="00896DA5">
        <w:rPr>
          <w:color w:val="000000"/>
          <w:sz w:val="28"/>
          <w:szCs w:val="28"/>
        </w:rPr>
        <w:t>электронный адрес</w:t>
      </w:r>
      <w:r w:rsidR="00480950">
        <w:rPr>
          <w:color w:val="000000"/>
          <w:sz w:val="28"/>
          <w:szCs w:val="28"/>
        </w:rPr>
        <w:t>:</w:t>
      </w:r>
      <w:r w:rsidRPr="00896DA5">
        <w:rPr>
          <w:color w:val="000000"/>
          <w:sz w:val="28"/>
          <w:szCs w:val="28"/>
        </w:rPr>
        <w:t xml:space="preserve"> </w:t>
      </w:r>
      <w:hyperlink r:id="rId10" w:history="1">
        <w:r w:rsidRPr="00420957">
          <w:rPr>
            <w:rStyle w:val="af"/>
            <w:sz w:val="28"/>
            <w:szCs w:val="28"/>
          </w:rPr>
          <w:t>info@lauruslabs.com</w:t>
        </w:r>
      </w:hyperlink>
    </w:p>
    <w:p w14:paraId="71C28128" w14:textId="77777777" w:rsidR="00896DA5" w:rsidRDefault="00896DA5" w:rsidP="00896DA5">
      <w:pPr>
        <w:pStyle w:val="ConsPlusNormal"/>
        <w:jc w:val="both"/>
        <w:rPr>
          <w:color w:val="000000"/>
          <w:sz w:val="28"/>
          <w:szCs w:val="28"/>
        </w:rPr>
      </w:pPr>
    </w:p>
    <w:p w14:paraId="4DE1D105" w14:textId="77777777" w:rsidR="00EE72C6" w:rsidRDefault="00EE72C6" w:rsidP="00355BDC">
      <w:pPr>
        <w:autoSpaceDE w:val="0"/>
        <w:autoSpaceDN w:val="0"/>
        <w:spacing w:after="0" w:line="240" w:lineRule="auto"/>
        <w:jc w:val="both"/>
        <w:rPr>
          <w:rFonts w:ascii="Times New Roman" w:eastAsia="Times New Roman" w:hAnsi="Times New Roman"/>
          <w:b/>
          <w:iCs/>
          <w:sz w:val="28"/>
          <w:szCs w:val="28"/>
          <w:lang w:val="kk-KZ" w:eastAsia="ru-RU"/>
        </w:rPr>
      </w:pPr>
      <w:r w:rsidRPr="00EE72C6">
        <w:rPr>
          <w:rFonts w:ascii="Times New Roman" w:eastAsia="Times New Roman" w:hAnsi="Times New Roman"/>
          <w:b/>
          <w:iCs/>
          <w:sz w:val="28"/>
          <w:szCs w:val="28"/>
          <w:lang w:val="kk-KZ" w:eastAsia="ru-RU"/>
        </w:rPr>
        <w:t>Наименование, адрес и контактные данные (телефон, факс, электронная почта) организации, принимающей претензии (предложения) по качеству лекарственного средства от потребителей на территории Республики Казахстан</w:t>
      </w:r>
    </w:p>
    <w:p w14:paraId="6B1C7F76" w14:textId="77777777" w:rsidR="00480950" w:rsidRDefault="00355BDC" w:rsidP="00355BDC">
      <w:pPr>
        <w:autoSpaceDE w:val="0"/>
        <w:autoSpaceDN w:val="0"/>
        <w:spacing w:after="0" w:line="240" w:lineRule="auto"/>
        <w:jc w:val="both"/>
        <w:rPr>
          <w:rFonts w:ascii="Times New Roman" w:eastAsia="Microsoft Sans Serif" w:hAnsi="Times New Roman"/>
          <w:sz w:val="28"/>
          <w:szCs w:val="28"/>
          <w:lang w:eastAsia="ru-RU" w:bidi="ru-RU"/>
        </w:rPr>
      </w:pPr>
      <w:r w:rsidRPr="00355BDC">
        <w:rPr>
          <w:rFonts w:ascii="Times New Roman" w:eastAsia="Microsoft Sans Serif" w:hAnsi="Times New Roman"/>
          <w:sz w:val="28"/>
          <w:szCs w:val="28"/>
          <w:lang w:eastAsia="ru-RU" w:bidi="ru-RU"/>
        </w:rPr>
        <w:t xml:space="preserve">ТОО «Rogers Pharma», Республика Казахстан, 050043, </w:t>
      </w:r>
    </w:p>
    <w:p w14:paraId="3F52B91E" w14:textId="77777777" w:rsidR="00480950" w:rsidRDefault="00355BDC" w:rsidP="00355BDC">
      <w:pPr>
        <w:autoSpaceDE w:val="0"/>
        <w:autoSpaceDN w:val="0"/>
        <w:spacing w:after="0" w:line="240" w:lineRule="auto"/>
        <w:jc w:val="both"/>
        <w:rPr>
          <w:rFonts w:ascii="Times New Roman" w:eastAsia="Microsoft Sans Serif" w:hAnsi="Times New Roman"/>
          <w:sz w:val="28"/>
          <w:szCs w:val="28"/>
          <w:lang w:eastAsia="ru-RU" w:bidi="ru-RU"/>
        </w:rPr>
      </w:pPr>
      <w:r w:rsidRPr="00355BDC">
        <w:rPr>
          <w:rFonts w:ascii="Times New Roman" w:eastAsia="Microsoft Sans Serif" w:hAnsi="Times New Roman"/>
          <w:sz w:val="28"/>
          <w:szCs w:val="28"/>
          <w:lang w:eastAsia="ru-RU" w:bidi="ru-RU"/>
        </w:rPr>
        <w:t xml:space="preserve">г. Алматы, мкн. Мирас, 157, н.п. 819. </w:t>
      </w:r>
    </w:p>
    <w:p w14:paraId="6394996D" w14:textId="77777777" w:rsidR="00480950" w:rsidRDefault="00355BDC" w:rsidP="00355BDC">
      <w:pPr>
        <w:autoSpaceDE w:val="0"/>
        <w:autoSpaceDN w:val="0"/>
        <w:spacing w:after="0" w:line="240" w:lineRule="auto"/>
        <w:jc w:val="both"/>
        <w:rPr>
          <w:rFonts w:ascii="Times New Roman" w:eastAsia="Microsoft Sans Serif" w:hAnsi="Times New Roman"/>
          <w:sz w:val="28"/>
          <w:szCs w:val="28"/>
          <w:lang w:eastAsia="ru-RU" w:bidi="ru-RU"/>
        </w:rPr>
      </w:pPr>
      <w:r w:rsidRPr="00355BDC">
        <w:rPr>
          <w:rFonts w:ascii="Times New Roman" w:eastAsia="Microsoft Sans Serif" w:hAnsi="Times New Roman"/>
          <w:sz w:val="28"/>
          <w:szCs w:val="28"/>
          <w:lang w:eastAsia="ru-RU" w:bidi="ru-RU"/>
        </w:rPr>
        <w:t>Тел.</w:t>
      </w:r>
      <w:r w:rsidR="00480950">
        <w:rPr>
          <w:rFonts w:ascii="Times New Roman" w:eastAsia="Microsoft Sans Serif" w:hAnsi="Times New Roman"/>
          <w:sz w:val="28"/>
          <w:szCs w:val="28"/>
          <w:lang w:eastAsia="ru-RU" w:bidi="ru-RU"/>
        </w:rPr>
        <w:t>:</w:t>
      </w:r>
      <w:r w:rsidRPr="00355BDC">
        <w:rPr>
          <w:rFonts w:ascii="Times New Roman" w:eastAsia="Microsoft Sans Serif" w:hAnsi="Times New Roman"/>
          <w:sz w:val="28"/>
          <w:szCs w:val="28"/>
          <w:lang w:eastAsia="ru-RU" w:bidi="ru-RU"/>
        </w:rPr>
        <w:t xml:space="preserve"> (727) 311-81-96/97, </w:t>
      </w:r>
    </w:p>
    <w:p w14:paraId="56CEC928" w14:textId="77777777" w:rsidR="00355BDC" w:rsidRPr="004062DD" w:rsidRDefault="00EE72C6" w:rsidP="00355BDC">
      <w:pPr>
        <w:autoSpaceDE w:val="0"/>
        <w:autoSpaceDN w:val="0"/>
        <w:spacing w:after="0" w:line="240" w:lineRule="auto"/>
        <w:jc w:val="both"/>
        <w:rPr>
          <w:rFonts w:ascii="Times New Roman" w:eastAsia="Microsoft Sans Serif" w:hAnsi="Times New Roman"/>
          <w:sz w:val="28"/>
          <w:szCs w:val="28"/>
          <w:lang w:eastAsia="ru-RU" w:bidi="ru-RU"/>
        </w:rPr>
      </w:pPr>
      <w:r w:rsidRPr="00EE72C6">
        <w:rPr>
          <w:rFonts w:ascii="Times New Roman" w:hAnsi="Times New Roman"/>
          <w:sz w:val="28"/>
          <w:szCs w:val="28"/>
        </w:rPr>
        <w:t>электронный адрес</w:t>
      </w:r>
      <w:r w:rsidR="00355BDC" w:rsidRPr="00355BDC">
        <w:rPr>
          <w:rFonts w:ascii="Times New Roman" w:eastAsia="Microsoft Sans Serif" w:hAnsi="Times New Roman"/>
          <w:sz w:val="28"/>
          <w:szCs w:val="28"/>
          <w:lang w:eastAsia="ru-RU" w:bidi="ru-RU"/>
        </w:rPr>
        <w:t xml:space="preserve">: </w:t>
      </w:r>
      <w:hyperlink r:id="rId11" w:history="1">
        <w:r w:rsidR="00355BDC" w:rsidRPr="00355BDC">
          <w:rPr>
            <w:rStyle w:val="af"/>
            <w:rFonts w:ascii="Times New Roman" w:eastAsia="Microsoft Sans Serif" w:hAnsi="Times New Roman"/>
            <w:sz w:val="28"/>
            <w:szCs w:val="28"/>
            <w:lang w:val="en-US" w:eastAsia="ru-RU" w:bidi="ru-RU"/>
          </w:rPr>
          <w:t>office</w:t>
        </w:r>
        <w:r w:rsidR="00355BDC" w:rsidRPr="00355BDC">
          <w:rPr>
            <w:rStyle w:val="af"/>
            <w:rFonts w:ascii="Times New Roman" w:eastAsia="Microsoft Sans Serif" w:hAnsi="Times New Roman"/>
            <w:sz w:val="28"/>
            <w:szCs w:val="28"/>
            <w:lang w:eastAsia="ru-RU" w:bidi="ru-RU"/>
          </w:rPr>
          <w:t>.</w:t>
        </w:r>
        <w:r w:rsidR="00355BDC" w:rsidRPr="00355BDC">
          <w:rPr>
            <w:rStyle w:val="af"/>
            <w:rFonts w:ascii="Times New Roman" w:eastAsia="Microsoft Sans Serif" w:hAnsi="Times New Roman"/>
            <w:sz w:val="28"/>
            <w:szCs w:val="28"/>
            <w:lang w:val="en-US" w:eastAsia="ru-RU" w:bidi="ru-RU"/>
          </w:rPr>
          <w:t>secretary</w:t>
        </w:r>
        <w:r w:rsidR="00355BDC" w:rsidRPr="00355BDC">
          <w:rPr>
            <w:rStyle w:val="af"/>
            <w:rFonts w:ascii="Times New Roman" w:eastAsia="Microsoft Sans Serif" w:hAnsi="Times New Roman"/>
            <w:sz w:val="28"/>
            <w:szCs w:val="28"/>
            <w:lang w:eastAsia="ru-RU" w:bidi="ru-RU"/>
          </w:rPr>
          <w:t>@</w:t>
        </w:r>
        <w:r w:rsidR="00355BDC" w:rsidRPr="00355BDC">
          <w:rPr>
            <w:rStyle w:val="af"/>
            <w:rFonts w:ascii="Times New Roman" w:eastAsia="Microsoft Sans Serif" w:hAnsi="Times New Roman"/>
            <w:sz w:val="28"/>
            <w:szCs w:val="28"/>
            <w:lang w:val="en-US" w:eastAsia="ru-RU" w:bidi="ru-RU"/>
          </w:rPr>
          <w:t>rogersgroup</w:t>
        </w:r>
        <w:r w:rsidR="00355BDC" w:rsidRPr="00355BDC">
          <w:rPr>
            <w:rStyle w:val="af"/>
            <w:rFonts w:ascii="Times New Roman" w:eastAsia="Microsoft Sans Serif" w:hAnsi="Times New Roman"/>
            <w:sz w:val="28"/>
            <w:szCs w:val="28"/>
            <w:lang w:eastAsia="ru-RU" w:bidi="ru-RU"/>
          </w:rPr>
          <w:t>.</w:t>
        </w:r>
        <w:r w:rsidR="00355BDC" w:rsidRPr="00355BDC">
          <w:rPr>
            <w:rStyle w:val="af"/>
            <w:rFonts w:ascii="Times New Roman" w:eastAsia="Microsoft Sans Serif" w:hAnsi="Times New Roman"/>
            <w:sz w:val="28"/>
            <w:szCs w:val="28"/>
            <w:lang w:val="en-US" w:eastAsia="ru-RU" w:bidi="ru-RU"/>
          </w:rPr>
          <w:t>in</w:t>
        </w:r>
      </w:hyperlink>
    </w:p>
    <w:p w14:paraId="5607E636" w14:textId="77777777" w:rsidR="00EE72C6" w:rsidRPr="004062DD" w:rsidRDefault="00EE72C6" w:rsidP="00355BDC">
      <w:pPr>
        <w:autoSpaceDE w:val="0"/>
        <w:autoSpaceDN w:val="0"/>
        <w:spacing w:after="0" w:line="240" w:lineRule="auto"/>
        <w:jc w:val="both"/>
        <w:rPr>
          <w:rFonts w:ascii="Times New Roman" w:eastAsia="Microsoft Sans Serif" w:hAnsi="Times New Roman"/>
          <w:sz w:val="28"/>
          <w:szCs w:val="28"/>
          <w:lang w:eastAsia="ru-RU" w:bidi="ru-RU"/>
        </w:rPr>
      </w:pPr>
    </w:p>
    <w:p w14:paraId="081787ED" w14:textId="77777777" w:rsidR="00EE72C6" w:rsidRPr="00EE72C6" w:rsidRDefault="00EE72C6" w:rsidP="00EE72C6">
      <w:pPr>
        <w:pStyle w:val="Default"/>
        <w:jc w:val="both"/>
        <w:rPr>
          <w:sz w:val="28"/>
          <w:szCs w:val="28"/>
        </w:rPr>
      </w:pPr>
      <w:r w:rsidRPr="00EE72C6">
        <w:rPr>
          <w:b/>
          <w:bCs/>
          <w:sz w:val="28"/>
          <w:szCs w:val="28"/>
        </w:rPr>
        <w:t xml:space="preserve">Наименование, адрес и контактные данные (телефон, факс, электронная почта) организации на территории Республики Казахстан, ответственной за пострегистрационное наблюдение за безопасностью лекарственного средства </w:t>
      </w:r>
    </w:p>
    <w:p w14:paraId="09C64E91" w14:textId="77777777" w:rsidR="00480950" w:rsidRDefault="00EE72C6" w:rsidP="00EE72C6">
      <w:pPr>
        <w:autoSpaceDE w:val="0"/>
        <w:autoSpaceDN w:val="0"/>
        <w:spacing w:after="0" w:line="240" w:lineRule="auto"/>
        <w:jc w:val="both"/>
        <w:rPr>
          <w:rFonts w:ascii="Times New Roman" w:hAnsi="Times New Roman"/>
          <w:sz w:val="28"/>
          <w:szCs w:val="28"/>
        </w:rPr>
      </w:pPr>
      <w:r w:rsidRPr="00EE72C6">
        <w:rPr>
          <w:rFonts w:ascii="Times New Roman" w:hAnsi="Times New Roman"/>
          <w:sz w:val="28"/>
          <w:szCs w:val="28"/>
        </w:rPr>
        <w:t xml:space="preserve">Канумуру И.Г., Республика Казахстан, 050043, </w:t>
      </w:r>
    </w:p>
    <w:p w14:paraId="17C0BE63" w14:textId="77777777" w:rsidR="00480950" w:rsidRDefault="00EE72C6" w:rsidP="00EE72C6">
      <w:pPr>
        <w:autoSpaceDE w:val="0"/>
        <w:autoSpaceDN w:val="0"/>
        <w:spacing w:after="0" w:line="240" w:lineRule="auto"/>
        <w:jc w:val="both"/>
        <w:rPr>
          <w:rFonts w:ascii="Times New Roman" w:hAnsi="Times New Roman"/>
          <w:sz w:val="28"/>
          <w:szCs w:val="28"/>
        </w:rPr>
      </w:pPr>
      <w:r w:rsidRPr="00EE72C6">
        <w:rPr>
          <w:rFonts w:ascii="Times New Roman" w:hAnsi="Times New Roman"/>
          <w:sz w:val="28"/>
          <w:szCs w:val="28"/>
        </w:rPr>
        <w:t xml:space="preserve">г. Алматы, мкн. Мирас, 157, блок 2, н. п. 819. </w:t>
      </w:r>
    </w:p>
    <w:p w14:paraId="585487CC" w14:textId="77777777" w:rsidR="00480950" w:rsidRDefault="00EE72C6" w:rsidP="00EE72C6">
      <w:pPr>
        <w:autoSpaceDE w:val="0"/>
        <w:autoSpaceDN w:val="0"/>
        <w:spacing w:after="0" w:line="240" w:lineRule="auto"/>
        <w:jc w:val="both"/>
        <w:rPr>
          <w:rFonts w:ascii="Times New Roman" w:hAnsi="Times New Roman"/>
          <w:sz w:val="28"/>
          <w:szCs w:val="28"/>
        </w:rPr>
      </w:pPr>
      <w:r w:rsidRPr="00EE72C6">
        <w:rPr>
          <w:rFonts w:ascii="Times New Roman" w:hAnsi="Times New Roman"/>
          <w:sz w:val="28"/>
          <w:szCs w:val="28"/>
        </w:rPr>
        <w:t>Тел.</w:t>
      </w:r>
      <w:r w:rsidR="00480950">
        <w:rPr>
          <w:rFonts w:ascii="Times New Roman" w:hAnsi="Times New Roman"/>
          <w:sz w:val="28"/>
          <w:szCs w:val="28"/>
        </w:rPr>
        <w:t>:</w:t>
      </w:r>
      <w:r w:rsidRPr="00EE72C6">
        <w:rPr>
          <w:rFonts w:ascii="Times New Roman" w:hAnsi="Times New Roman"/>
          <w:sz w:val="28"/>
          <w:szCs w:val="28"/>
        </w:rPr>
        <w:t xml:space="preserve"> (727) 311-81-96/97, моб. +77479911904, </w:t>
      </w:r>
    </w:p>
    <w:p w14:paraId="3DEA80EA" w14:textId="77777777" w:rsidR="00EE72C6" w:rsidRPr="00480950" w:rsidRDefault="00EE72C6" w:rsidP="00EE72C6">
      <w:pPr>
        <w:autoSpaceDE w:val="0"/>
        <w:autoSpaceDN w:val="0"/>
        <w:spacing w:after="0" w:line="240" w:lineRule="auto"/>
        <w:jc w:val="both"/>
        <w:rPr>
          <w:rFonts w:ascii="Times New Roman" w:eastAsia="Microsoft Sans Serif" w:hAnsi="Times New Roman"/>
          <w:sz w:val="28"/>
          <w:szCs w:val="28"/>
          <w:lang w:eastAsia="ru-RU" w:bidi="ru-RU"/>
        </w:rPr>
      </w:pPr>
      <w:r w:rsidRPr="00EE72C6">
        <w:rPr>
          <w:rFonts w:ascii="Times New Roman" w:hAnsi="Times New Roman"/>
          <w:sz w:val="28"/>
          <w:szCs w:val="28"/>
        </w:rPr>
        <w:t>электронный адрес: irina.volovnikova@gmail.com.</w:t>
      </w:r>
    </w:p>
    <w:p w14:paraId="686068BF" w14:textId="77777777" w:rsidR="00355BDC" w:rsidRPr="00480950" w:rsidRDefault="00355BDC" w:rsidP="00355BDC">
      <w:pPr>
        <w:autoSpaceDE w:val="0"/>
        <w:autoSpaceDN w:val="0"/>
        <w:spacing w:after="0" w:line="240" w:lineRule="auto"/>
        <w:jc w:val="both"/>
        <w:rPr>
          <w:rFonts w:ascii="Times New Roman" w:eastAsia="Microsoft Sans Serif" w:hAnsi="Times New Roman"/>
          <w:sz w:val="28"/>
          <w:szCs w:val="28"/>
          <w:lang w:eastAsia="ru-RU" w:bidi="ru-RU"/>
        </w:rPr>
      </w:pPr>
    </w:p>
    <w:p w14:paraId="559F5C20" w14:textId="77777777" w:rsidR="00355BDC" w:rsidRPr="00355BDC" w:rsidRDefault="00355BDC" w:rsidP="00355BDC">
      <w:pPr>
        <w:autoSpaceDE w:val="0"/>
        <w:autoSpaceDN w:val="0"/>
        <w:spacing w:after="0" w:line="240" w:lineRule="auto"/>
        <w:jc w:val="both"/>
        <w:rPr>
          <w:rFonts w:ascii="Times New Roman" w:eastAsia="Microsoft Sans Serif" w:hAnsi="Times New Roman"/>
          <w:sz w:val="28"/>
          <w:szCs w:val="28"/>
          <w:lang w:eastAsia="ru-RU" w:bidi="ru-RU"/>
        </w:rPr>
      </w:pPr>
    </w:p>
    <w:p w14:paraId="5D9E1150" w14:textId="77777777" w:rsidR="00844CE8" w:rsidRPr="004E7A03" w:rsidRDefault="00844CE8" w:rsidP="00844CE8">
      <w:pPr>
        <w:pStyle w:val="Default"/>
        <w:ind w:firstLine="540"/>
        <w:jc w:val="both"/>
        <w:rPr>
          <w:sz w:val="28"/>
          <w:szCs w:val="28"/>
        </w:rPr>
      </w:pPr>
    </w:p>
    <w:p w14:paraId="140B142A" w14:textId="77777777" w:rsidR="002C76D7" w:rsidRPr="004E7A03" w:rsidRDefault="002C76D7" w:rsidP="00844CE8">
      <w:pPr>
        <w:spacing w:after="0" w:line="240" w:lineRule="auto"/>
        <w:jc w:val="both"/>
        <w:rPr>
          <w:rFonts w:ascii="Times New Roman" w:eastAsia="Times New Roman" w:hAnsi="Times New Roman"/>
          <w:b/>
          <w:sz w:val="28"/>
          <w:szCs w:val="28"/>
          <w:lang w:eastAsia="ru-RU"/>
        </w:rPr>
      </w:pPr>
    </w:p>
    <w:sectPr w:rsidR="002C76D7" w:rsidRPr="004E7A03"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F7D4" w14:textId="77777777" w:rsidR="000A6466" w:rsidRDefault="000A6466" w:rsidP="00D275FC">
      <w:pPr>
        <w:spacing w:after="0" w:line="240" w:lineRule="auto"/>
      </w:pPr>
      <w:r>
        <w:separator/>
      </w:r>
    </w:p>
  </w:endnote>
  <w:endnote w:type="continuationSeparator" w:id="0">
    <w:p w14:paraId="3F1DA53D" w14:textId="77777777" w:rsidR="000A6466" w:rsidRDefault="000A646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41F7" w14:textId="77777777" w:rsidR="000A6466" w:rsidRDefault="000A6466" w:rsidP="00D275FC">
      <w:pPr>
        <w:spacing w:after="0" w:line="240" w:lineRule="auto"/>
      </w:pPr>
      <w:r>
        <w:separator/>
      </w:r>
    </w:p>
  </w:footnote>
  <w:footnote w:type="continuationSeparator" w:id="0">
    <w:p w14:paraId="15C3D731" w14:textId="77777777" w:rsidR="000A6466" w:rsidRDefault="000A646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B7A1" w14:textId="77777777" w:rsidR="00D275FC" w:rsidRDefault="009B6235">
    <w:pPr>
      <w:pStyle w:val="22"/>
    </w:pPr>
    <w:r>
      <w:rPr>
        <w:noProof/>
        <w:snapToGrid/>
      </w:rPr>
      <mc:AlternateContent>
        <mc:Choice Requires="wps">
          <w:drawing>
            <wp:anchor distT="0" distB="0" distL="114300" distR="114300" simplePos="0" relativeHeight="251657728" behindDoc="0" locked="0" layoutInCell="1" allowOverlap="1" wp14:anchorId="66827542" wp14:editId="35D9529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D42877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82754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6D42877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86"/>
        </w:tabs>
        <w:ind w:left="786" w:hanging="360"/>
      </w:pPr>
      <w:rPr>
        <w:rFonts w:ascii="Symbol" w:hAnsi="Symbol" w:hint="default"/>
      </w:rPr>
    </w:lvl>
    <w:lvl w:ilvl="1" w:tplc="ECCA8570" w:tentative="1">
      <w:start w:val="1"/>
      <w:numFmt w:val="bullet"/>
      <w:lvlText w:val=""/>
      <w:lvlJc w:val="left"/>
      <w:pPr>
        <w:tabs>
          <w:tab w:val="num" w:pos="1506"/>
        </w:tabs>
        <w:ind w:left="1506" w:hanging="360"/>
      </w:pPr>
      <w:rPr>
        <w:rFonts w:ascii="Symbol" w:hAnsi="Symbol" w:hint="default"/>
      </w:rPr>
    </w:lvl>
    <w:lvl w:ilvl="2" w:tplc="81B6B02C" w:tentative="1">
      <w:start w:val="1"/>
      <w:numFmt w:val="bullet"/>
      <w:lvlText w:val=""/>
      <w:lvlJc w:val="left"/>
      <w:pPr>
        <w:tabs>
          <w:tab w:val="num" w:pos="2226"/>
        </w:tabs>
        <w:ind w:left="2226" w:hanging="360"/>
      </w:pPr>
      <w:rPr>
        <w:rFonts w:ascii="Symbol" w:hAnsi="Symbol" w:hint="default"/>
      </w:rPr>
    </w:lvl>
    <w:lvl w:ilvl="3" w:tplc="2190E7CC" w:tentative="1">
      <w:start w:val="1"/>
      <w:numFmt w:val="bullet"/>
      <w:lvlText w:val=""/>
      <w:lvlJc w:val="left"/>
      <w:pPr>
        <w:tabs>
          <w:tab w:val="num" w:pos="2946"/>
        </w:tabs>
        <w:ind w:left="2946" w:hanging="360"/>
      </w:pPr>
      <w:rPr>
        <w:rFonts w:ascii="Symbol" w:hAnsi="Symbol" w:hint="default"/>
      </w:rPr>
    </w:lvl>
    <w:lvl w:ilvl="4" w:tplc="15DE304E" w:tentative="1">
      <w:start w:val="1"/>
      <w:numFmt w:val="bullet"/>
      <w:lvlText w:val=""/>
      <w:lvlJc w:val="left"/>
      <w:pPr>
        <w:tabs>
          <w:tab w:val="num" w:pos="3666"/>
        </w:tabs>
        <w:ind w:left="3666" w:hanging="360"/>
      </w:pPr>
      <w:rPr>
        <w:rFonts w:ascii="Symbol" w:hAnsi="Symbol" w:hint="default"/>
      </w:rPr>
    </w:lvl>
    <w:lvl w:ilvl="5" w:tplc="7F3CBE90" w:tentative="1">
      <w:start w:val="1"/>
      <w:numFmt w:val="bullet"/>
      <w:lvlText w:val=""/>
      <w:lvlJc w:val="left"/>
      <w:pPr>
        <w:tabs>
          <w:tab w:val="num" w:pos="4386"/>
        </w:tabs>
        <w:ind w:left="4386" w:hanging="360"/>
      </w:pPr>
      <w:rPr>
        <w:rFonts w:ascii="Symbol" w:hAnsi="Symbol" w:hint="default"/>
      </w:rPr>
    </w:lvl>
    <w:lvl w:ilvl="6" w:tplc="4420CB0C" w:tentative="1">
      <w:start w:val="1"/>
      <w:numFmt w:val="bullet"/>
      <w:lvlText w:val=""/>
      <w:lvlJc w:val="left"/>
      <w:pPr>
        <w:tabs>
          <w:tab w:val="num" w:pos="5106"/>
        </w:tabs>
        <w:ind w:left="5106" w:hanging="360"/>
      </w:pPr>
      <w:rPr>
        <w:rFonts w:ascii="Symbol" w:hAnsi="Symbol" w:hint="default"/>
      </w:rPr>
    </w:lvl>
    <w:lvl w:ilvl="7" w:tplc="37B80DB2" w:tentative="1">
      <w:start w:val="1"/>
      <w:numFmt w:val="bullet"/>
      <w:lvlText w:val=""/>
      <w:lvlJc w:val="left"/>
      <w:pPr>
        <w:tabs>
          <w:tab w:val="num" w:pos="5826"/>
        </w:tabs>
        <w:ind w:left="5826" w:hanging="360"/>
      </w:pPr>
      <w:rPr>
        <w:rFonts w:ascii="Symbol" w:hAnsi="Symbol" w:hint="default"/>
      </w:rPr>
    </w:lvl>
    <w:lvl w:ilvl="8" w:tplc="BD56327C" w:tentative="1">
      <w:start w:val="1"/>
      <w:numFmt w:val="bullet"/>
      <w:lvlText w:val=""/>
      <w:lvlJc w:val="left"/>
      <w:pPr>
        <w:tabs>
          <w:tab w:val="num" w:pos="6546"/>
        </w:tabs>
        <w:ind w:left="6546"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3"/>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1"/>
  </w:num>
  <w:num w:numId="22">
    <w:abstractNumId w:val="5"/>
  </w:num>
  <w:num w:numId="23">
    <w:abstractNumId w:val="22"/>
  </w:num>
  <w:num w:numId="24">
    <w:abstractNumId w:val="12"/>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062"/>
    <w:rsid w:val="00010371"/>
    <w:rsid w:val="000264BB"/>
    <w:rsid w:val="00033FC1"/>
    <w:rsid w:val="00034159"/>
    <w:rsid w:val="00042999"/>
    <w:rsid w:val="000852A1"/>
    <w:rsid w:val="000972E6"/>
    <w:rsid w:val="000A0D71"/>
    <w:rsid w:val="000A6466"/>
    <w:rsid w:val="000C2C4B"/>
    <w:rsid w:val="000C4C48"/>
    <w:rsid w:val="000E01AB"/>
    <w:rsid w:val="000E2683"/>
    <w:rsid w:val="000E49F0"/>
    <w:rsid w:val="000E6126"/>
    <w:rsid w:val="00100406"/>
    <w:rsid w:val="00107A8A"/>
    <w:rsid w:val="00111788"/>
    <w:rsid w:val="00132B9A"/>
    <w:rsid w:val="001368AE"/>
    <w:rsid w:val="00144CCD"/>
    <w:rsid w:val="0014739A"/>
    <w:rsid w:val="0015490C"/>
    <w:rsid w:val="001573E2"/>
    <w:rsid w:val="0016278D"/>
    <w:rsid w:val="001937AD"/>
    <w:rsid w:val="00196EAC"/>
    <w:rsid w:val="001A2CB2"/>
    <w:rsid w:val="001A5CCF"/>
    <w:rsid w:val="001B6AEC"/>
    <w:rsid w:val="001C237E"/>
    <w:rsid w:val="001E6F4C"/>
    <w:rsid w:val="001F16AA"/>
    <w:rsid w:val="00203355"/>
    <w:rsid w:val="00211005"/>
    <w:rsid w:val="00211385"/>
    <w:rsid w:val="00217D41"/>
    <w:rsid w:val="00222CA6"/>
    <w:rsid w:val="00232642"/>
    <w:rsid w:val="00237697"/>
    <w:rsid w:val="00250EDB"/>
    <w:rsid w:val="00256E10"/>
    <w:rsid w:val="00260413"/>
    <w:rsid w:val="00260EBC"/>
    <w:rsid w:val="00264710"/>
    <w:rsid w:val="00267567"/>
    <w:rsid w:val="00270B0A"/>
    <w:rsid w:val="00277836"/>
    <w:rsid w:val="00281FBE"/>
    <w:rsid w:val="00290D2E"/>
    <w:rsid w:val="00292715"/>
    <w:rsid w:val="002A591C"/>
    <w:rsid w:val="002B3270"/>
    <w:rsid w:val="002C10E1"/>
    <w:rsid w:val="002C15EB"/>
    <w:rsid w:val="002C1660"/>
    <w:rsid w:val="002C35A2"/>
    <w:rsid w:val="002C4506"/>
    <w:rsid w:val="002C5345"/>
    <w:rsid w:val="002C76D7"/>
    <w:rsid w:val="002D56B7"/>
    <w:rsid w:val="002E0BAD"/>
    <w:rsid w:val="002F4A14"/>
    <w:rsid w:val="00302607"/>
    <w:rsid w:val="003043BF"/>
    <w:rsid w:val="00320073"/>
    <w:rsid w:val="003262DF"/>
    <w:rsid w:val="003356B2"/>
    <w:rsid w:val="00355BDC"/>
    <w:rsid w:val="00357987"/>
    <w:rsid w:val="0036288F"/>
    <w:rsid w:val="00365B10"/>
    <w:rsid w:val="003662F1"/>
    <w:rsid w:val="00367BA7"/>
    <w:rsid w:val="003761C0"/>
    <w:rsid w:val="003812B2"/>
    <w:rsid w:val="00383CDB"/>
    <w:rsid w:val="00384F08"/>
    <w:rsid w:val="003879F9"/>
    <w:rsid w:val="003A035E"/>
    <w:rsid w:val="003A669F"/>
    <w:rsid w:val="003B0285"/>
    <w:rsid w:val="003D43E3"/>
    <w:rsid w:val="003E13CF"/>
    <w:rsid w:val="003E69C9"/>
    <w:rsid w:val="003F5344"/>
    <w:rsid w:val="003F7EDC"/>
    <w:rsid w:val="00404548"/>
    <w:rsid w:val="004062DD"/>
    <w:rsid w:val="0041162E"/>
    <w:rsid w:val="0042786D"/>
    <w:rsid w:val="00433C62"/>
    <w:rsid w:val="00434D01"/>
    <w:rsid w:val="00472EF5"/>
    <w:rsid w:val="00480950"/>
    <w:rsid w:val="004850D4"/>
    <w:rsid w:val="0048687C"/>
    <w:rsid w:val="004A31B4"/>
    <w:rsid w:val="004B58B4"/>
    <w:rsid w:val="004C1922"/>
    <w:rsid w:val="004C462F"/>
    <w:rsid w:val="004D49E9"/>
    <w:rsid w:val="004E7A03"/>
    <w:rsid w:val="004E7FDD"/>
    <w:rsid w:val="005071DA"/>
    <w:rsid w:val="00512C02"/>
    <w:rsid w:val="0051383B"/>
    <w:rsid w:val="00523D82"/>
    <w:rsid w:val="0052579E"/>
    <w:rsid w:val="005319A8"/>
    <w:rsid w:val="00541A00"/>
    <w:rsid w:val="005444B2"/>
    <w:rsid w:val="00552F8B"/>
    <w:rsid w:val="00561FE7"/>
    <w:rsid w:val="00575348"/>
    <w:rsid w:val="005779DE"/>
    <w:rsid w:val="00581FD5"/>
    <w:rsid w:val="005869C5"/>
    <w:rsid w:val="005A3C81"/>
    <w:rsid w:val="005A5680"/>
    <w:rsid w:val="005A6639"/>
    <w:rsid w:val="005A6914"/>
    <w:rsid w:val="005B2AA3"/>
    <w:rsid w:val="005B3FFE"/>
    <w:rsid w:val="005C1519"/>
    <w:rsid w:val="005C1C4E"/>
    <w:rsid w:val="005C4A16"/>
    <w:rsid w:val="005C4B12"/>
    <w:rsid w:val="005D68C6"/>
    <w:rsid w:val="005D7EE3"/>
    <w:rsid w:val="005E50DE"/>
    <w:rsid w:val="005F7097"/>
    <w:rsid w:val="0060364A"/>
    <w:rsid w:val="0061650D"/>
    <w:rsid w:val="00617843"/>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7D5A"/>
    <w:rsid w:val="006E4305"/>
    <w:rsid w:val="006F5763"/>
    <w:rsid w:val="00704BAB"/>
    <w:rsid w:val="007104D1"/>
    <w:rsid w:val="007135A6"/>
    <w:rsid w:val="0071565B"/>
    <w:rsid w:val="00722B1F"/>
    <w:rsid w:val="00732F32"/>
    <w:rsid w:val="00733A73"/>
    <w:rsid w:val="00736B6C"/>
    <w:rsid w:val="00745CFF"/>
    <w:rsid w:val="00746FF2"/>
    <w:rsid w:val="00761133"/>
    <w:rsid w:val="00764E84"/>
    <w:rsid w:val="007762F8"/>
    <w:rsid w:val="00783520"/>
    <w:rsid w:val="007A02D3"/>
    <w:rsid w:val="007A18B1"/>
    <w:rsid w:val="007B3AF8"/>
    <w:rsid w:val="007C055A"/>
    <w:rsid w:val="007C1693"/>
    <w:rsid w:val="007D0E84"/>
    <w:rsid w:val="007D681B"/>
    <w:rsid w:val="007E0ADB"/>
    <w:rsid w:val="007E1A7B"/>
    <w:rsid w:val="007E1D85"/>
    <w:rsid w:val="007E5B48"/>
    <w:rsid w:val="007E702A"/>
    <w:rsid w:val="0081154A"/>
    <w:rsid w:val="00812AEF"/>
    <w:rsid w:val="00820B36"/>
    <w:rsid w:val="008250FA"/>
    <w:rsid w:val="00827BB2"/>
    <w:rsid w:val="008329DA"/>
    <w:rsid w:val="008330E7"/>
    <w:rsid w:val="008351E8"/>
    <w:rsid w:val="008353A4"/>
    <w:rsid w:val="008372C6"/>
    <w:rsid w:val="00844CE8"/>
    <w:rsid w:val="00847154"/>
    <w:rsid w:val="0086657B"/>
    <w:rsid w:val="00871E30"/>
    <w:rsid w:val="008832E5"/>
    <w:rsid w:val="00891711"/>
    <w:rsid w:val="00896DA5"/>
    <w:rsid w:val="00897669"/>
    <w:rsid w:val="008C0181"/>
    <w:rsid w:val="008C704A"/>
    <w:rsid w:val="008D4451"/>
    <w:rsid w:val="008D62B7"/>
    <w:rsid w:val="008E6895"/>
    <w:rsid w:val="00900B3C"/>
    <w:rsid w:val="00904FB5"/>
    <w:rsid w:val="00905FFD"/>
    <w:rsid w:val="0091136C"/>
    <w:rsid w:val="009157ED"/>
    <w:rsid w:val="00930D7D"/>
    <w:rsid w:val="009379B1"/>
    <w:rsid w:val="00937F8F"/>
    <w:rsid w:val="0095047E"/>
    <w:rsid w:val="00956101"/>
    <w:rsid w:val="00962CD6"/>
    <w:rsid w:val="00993A60"/>
    <w:rsid w:val="00996F90"/>
    <w:rsid w:val="009B014E"/>
    <w:rsid w:val="009B6235"/>
    <w:rsid w:val="009C6A9D"/>
    <w:rsid w:val="009D71D5"/>
    <w:rsid w:val="009E2887"/>
    <w:rsid w:val="009E593B"/>
    <w:rsid w:val="009E5CB9"/>
    <w:rsid w:val="009F31F2"/>
    <w:rsid w:val="009F45A5"/>
    <w:rsid w:val="00A01C2E"/>
    <w:rsid w:val="00A02BB2"/>
    <w:rsid w:val="00A04052"/>
    <w:rsid w:val="00A12563"/>
    <w:rsid w:val="00A7597B"/>
    <w:rsid w:val="00A8185B"/>
    <w:rsid w:val="00AA5E2F"/>
    <w:rsid w:val="00AA7317"/>
    <w:rsid w:val="00AC2C0B"/>
    <w:rsid w:val="00AC3BFB"/>
    <w:rsid w:val="00AC4905"/>
    <w:rsid w:val="00AE7922"/>
    <w:rsid w:val="00AF4996"/>
    <w:rsid w:val="00B01011"/>
    <w:rsid w:val="00B11878"/>
    <w:rsid w:val="00B46F30"/>
    <w:rsid w:val="00B608C1"/>
    <w:rsid w:val="00B60D3D"/>
    <w:rsid w:val="00B61D95"/>
    <w:rsid w:val="00B9187F"/>
    <w:rsid w:val="00BB3050"/>
    <w:rsid w:val="00BB7831"/>
    <w:rsid w:val="00BC31BC"/>
    <w:rsid w:val="00BC6167"/>
    <w:rsid w:val="00BE4435"/>
    <w:rsid w:val="00BE6B71"/>
    <w:rsid w:val="00C07BB3"/>
    <w:rsid w:val="00C2000E"/>
    <w:rsid w:val="00C379C9"/>
    <w:rsid w:val="00C422B8"/>
    <w:rsid w:val="00C566D6"/>
    <w:rsid w:val="00C839ED"/>
    <w:rsid w:val="00C84299"/>
    <w:rsid w:val="00C92F14"/>
    <w:rsid w:val="00C9308C"/>
    <w:rsid w:val="00C97365"/>
    <w:rsid w:val="00CC08BA"/>
    <w:rsid w:val="00CC330A"/>
    <w:rsid w:val="00CC5727"/>
    <w:rsid w:val="00CC7DBD"/>
    <w:rsid w:val="00CE38C0"/>
    <w:rsid w:val="00CF3849"/>
    <w:rsid w:val="00CF5717"/>
    <w:rsid w:val="00D0233C"/>
    <w:rsid w:val="00D066FC"/>
    <w:rsid w:val="00D11462"/>
    <w:rsid w:val="00D14D61"/>
    <w:rsid w:val="00D22A47"/>
    <w:rsid w:val="00D23025"/>
    <w:rsid w:val="00D275FC"/>
    <w:rsid w:val="00D3576E"/>
    <w:rsid w:val="00D43297"/>
    <w:rsid w:val="00D46B0B"/>
    <w:rsid w:val="00D4729F"/>
    <w:rsid w:val="00D55ED8"/>
    <w:rsid w:val="00D70DB6"/>
    <w:rsid w:val="00D76048"/>
    <w:rsid w:val="00D93C80"/>
    <w:rsid w:val="00D96A8F"/>
    <w:rsid w:val="00DB406A"/>
    <w:rsid w:val="00DF11A7"/>
    <w:rsid w:val="00E03E8D"/>
    <w:rsid w:val="00E271CB"/>
    <w:rsid w:val="00E34FE3"/>
    <w:rsid w:val="00E4242E"/>
    <w:rsid w:val="00E55D6C"/>
    <w:rsid w:val="00E57396"/>
    <w:rsid w:val="00E72073"/>
    <w:rsid w:val="00E81A1B"/>
    <w:rsid w:val="00E81A86"/>
    <w:rsid w:val="00E8607B"/>
    <w:rsid w:val="00E91073"/>
    <w:rsid w:val="00E9259F"/>
    <w:rsid w:val="00E93583"/>
    <w:rsid w:val="00EA2F86"/>
    <w:rsid w:val="00EA6D39"/>
    <w:rsid w:val="00EB1D97"/>
    <w:rsid w:val="00EE72C6"/>
    <w:rsid w:val="00EF4C53"/>
    <w:rsid w:val="00F006F1"/>
    <w:rsid w:val="00F07B7B"/>
    <w:rsid w:val="00F23B95"/>
    <w:rsid w:val="00F40388"/>
    <w:rsid w:val="00F63389"/>
    <w:rsid w:val="00F8747E"/>
    <w:rsid w:val="00F91977"/>
    <w:rsid w:val="00F97B57"/>
    <w:rsid w:val="00FA0019"/>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601B0"/>
  <w15:docId w15:val="{E9A64D23-E042-4BA2-8AF8-27D680B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871E3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20">
    <w:name w:val="Заголовок 2 Знак"/>
    <w:link w:val="2"/>
    <w:uiPriority w:val="9"/>
    <w:semiHidden/>
    <w:rsid w:val="00871E30"/>
    <w:rPr>
      <w:rFonts w:ascii="Cambria" w:eastAsia="Times New Roman" w:hAnsi="Cambria"/>
      <w:b/>
      <w:bCs/>
      <w:i/>
      <w:iCs/>
      <w:sz w:val="28"/>
      <w:szCs w:val="28"/>
      <w:lang w:eastAsia="en-US"/>
    </w:rPr>
  </w:style>
  <w:style w:type="character" w:customStyle="1" w:styleId="30">
    <w:name w:val="Заголовок 3 Знак"/>
    <w:link w:val="3"/>
    <w:rsid w:val="0036288F"/>
    <w:rPr>
      <w:rFonts w:ascii="Arial" w:eastAsia="Times New Roman" w:hAnsi="Arial" w:cs="Arial"/>
      <w:b/>
      <w:bCs/>
      <w:sz w:val="26"/>
      <w:szCs w:val="26"/>
      <w:lang w:eastAsia="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3">
    <w:name w:val="Body Text 2"/>
    <w:basedOn w:val="a"/>
    <w:link w:val="24"/>
    <w:uiPriority w:val="99"/>
    <w:semiHidden/>
    <w:unhideWhenUsed/>
    <w:rsid w:val="00F8747E"/>
    <w:pPr>
      <w:spacing w:after="120" w:line="480" w:lineRule="auto"/>
    </w:pPr>
  </w:style>
  <w:style w:type="character" w:customStyle="1" w:styleId="24">
    <w:name w:val="Основной текст 2 Знак"/>
    <w:link w:val="23"/>
    <w:uiPriority w:val="99"/>
    <w:semiHidden/>
    <w:rsid w:val="00F8747E"/>
    <w:rPr>
      <w:sz w:val="22"/>
      <w:szCs w:val="22"/>
      <w:lang w:eastAsia="en-US"/>
    </w:rPr>
  </w:style>
  <w:style w:type="paragraph" w:customStyle="1" w:styleId="Style5">
    <w:name w:val="Style5"/>
    <w:basedOn w:val="a"/>
    <w:uiPriority w:val="99"/>
    <w:rsid w:val="00871E30"/>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871E30"/>
    <w:rPr>
      <w:rFonts w:ascii="Times New Roman" w:hAnsi="Times New Roman" w:cs="Times New Roman"/>
      <w:sz w:val="22"/>
      <w:szCs w:val="22"/>
    </w:rPr>
  </w:style>
  <w:style w:type="paragraph" w:customStyle="1" w:styleId="Style7">
    <w:name w:val="Style7"/>
    <w:basedOn w:val="a"/>
    <w:uiPriority w:val="99"/>
    <w:rsid w:val="00871E3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871E30"/>
    <w:rPr>
      <w:rFonts w:ascii="Times New Roman" w:hAnsi="Times New Roman" w:cs="Times New Roman"/>
      <w:i/>
      <w:iCs/>
      <w:sz w:val="22"/>
      <w:szCs w:val="22"/>
    </w:rPr>
  </w:style>
  <w:style w:type="paragraph" w:customStyle="1" w:styleId="Style14">
    <w:name w:val="Style14"/>
    <w:basedOn w:val="a"/>
    <w:uiPriority w:val="99"/>
    <w:rsid w:val="00871E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871E30"/>
    <w:rPr>
      <w:rFonts w:ascii="Times New Roman" w:hAnsi="Times New Roman" w:cs="Times New Roman"/>
      <w:b/>
      <w:bCs/>
      <w:i/>
      <w:iCs/>
      <w:sz w:val="22"/>
      <w:szCs w:val="22"/>
    </w:rPr>
  </w:style>
  <w:style w:type="character" w:customStyle="1" w:styleId="14">
    <w:name w:val="Неразрешенное упоминание1"/>
    <w:uiPriority w:val="99"/>
    <w:semiHidden/>
    <w:unhideWhenUsed/>
    <w:rsid w:val="003E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0" Type="http://schemas.openxmlformats.org/officeDocument/2006/relationships/hyperlink" Target="mailto:info@lauruslabs.com" TargetMode="External"/><Relationship Id="rId4" Type="http://schemas.openxmlformats.org/officeDocument/2006/relationships/settings" Target="settings.xml"/><Relationship Id="rId9" Type="http://schemas.openxmlformats.org/officeDocument/2006/relationships/hyperlink" Target="mailto:info@lauruslabs.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D975-B7C8-4ECC-BE97-C84356E4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5208</Words>
  <Characters>29686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34825</CharactersWithSpaces>
  <SharedDoc>false</SharedDoc>
  <HLinks>
    <vt:vector size="24" baseType="variant">
      <vt:variant>
        <vt:i4>4784187</vt:i4>
      </vt:variant>
      <vt:variant>
        <vt:i4>9</vt:i4>
      </vt:variant>
      <vt:variant>
        <vt:i4>0</vt:i4>
      </vt:variant>
      <vt:variant>
        <vt:i4>5</vt:i4>
      </vt:variant>
      <vt:variant>
        <vt:lpwstr>mailto:office.secretary@rogersgroup.in</vt:lpwstr>
      </vt:variant>
      <vt:variant>
        <vt:lpwstr/>
      </vt:variant>
      <vt:variant>
        <vt:i4>5308520</vt:i4>
      </vt:variant>
      <vt:variant>
        <vt:i4>6</vt:i4>
      </vt:variant>
      <vt:variant>
        <vt:i4>0</vt:i4>
      </vt:variant>
      <vt:variant>
        <vt:i4>5</vt:i4>
      </vt:variant>
      <vt:variant>
        <vt:lpwstr>mailto:info@lauruslabs.com</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2021-10-03T18:39:00Z</dcterms:created>
  <dcterms:modified xsi:type="dcterms:W3CDTF">2025-07-07T12:55:00Z</dcterms:modified>
</cp:coreProperties>
</file>